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203"/>
        <w:gridCol w:w="108"/>
        <w:gridCol w:w="991"/>
        <w:gridCol w:w="708"/>
        <w:gridCol w:w="1028"/>
        <w:gridCol w:w="760"/>
        <w:gridCol w:w="943"/>
        <w:gridCol w:w="1213"/>
        <w:gridCol w:w="803"/>
        <w:gridCol w:w="373"/>
        <w:gridCol w:w="849"/>
        <w:gridCol w:w="452"/>
        <w:gridCol w:w="850"/>
        <w:gridCol w:w="339"/>
      </w:tblGrid>
      <w:tr w:rsidR="00AE0552">
        <w:trPr>
          <w:trHeight w:val="11814"/>
        </w:trPr>
        <w:tc>
          <w:tcPr>
            <w:tcW w:w="10620" w:type="dxa"/>
            <w:gridSpan w:val="14"/>
          </w:tcPr>
          <w:p w:rsidR="00AE0552" w:rsidRDefault="00AE0552">
            <w:pPr>
              <w:pStyle w:val="TableParagraph"/>
              <w:spacing w:before="16"/>
              <w:rPr>
                <w:rFonts w:ascii="Times New Roman"/>
                <w:sz w:val="24"/>
              </w:rPr>
            </w:pPr>
          </w:p>
          <w:p w:rsidR="00AE0552" w:rsidRDefault="00DC3ACA">
            <w:pPr>
              <w:pStyle w:val="TableParagraph"/>
              <w:ind w:left="567"/>
              <w:jc w:val="center"/>
              <w:rPr>
                <w:b/>
                <w:sz w:val="24"/>
              </w:rPr>
            </w:pPr>
            <w:r>
              <w:rPr>
                <w:b/>
                <w:sz w:val="24"/>
              </w:rPr>
              <w:t>EXPLANATORY NOTE</w:t>
            </w:r>
          </w:p>
          <w:p w:rsidR="00AE0552" w:rsidRDefault="00DC3ACA">
            <w:pPr>
              <w:pStyle w:val="TableParagraph"/>
              <w:numPr>
                <w:ilvl w:val="0"/>
                <w:numId w:val="5"/>
              </w:numPr>
              <w:tabs>
                <w:tab w:val="left" w:pos="461"/>
              </w:tabs>
              <w:ind w:left="461" w:hanging="359"/>
              <w:rPr>
                <w:b/>
                <w:sz w:val="24"/>
              </w:rPr>
            </w:pPr>
            <w:r>
              <w:rPr>
                <w:b/>
                <w:sz w:val="24"/>
              </w:rPr>
              <w:t>General</w:t>
            </w:r>
          </w:p>
          <w:p w:rsidR="00AE0552" w:rsidRDefault="00DC3ACA">
            <w:pPr>
              <w:pStyle w:val="TableParagraph"/>
              <w:spacing w:before="184"/>
              <w:ind w:left="642" w:right="437"/>
              <w:jc w:val="both"/>
              <w:rPr>
                <w:sz w:val="20"/>
              </w:rPr>
            </w:pPr>
            <w:r>
              <w:rPr>
                <w:sz w:val="20"/>
              </w:rPr>
              <w:t xml:space="preserve">In 2021, Fluor S.A. conducted a performance evaluation study of the flare systems operated by AB ORLEN Lietuva. </w:t>
            </w:r>
            <w:r>
              <w:rPr>
                <w:sz w:val="20"/>
              </w:rPr>
              <w:t xml:space="preserve">The study revealed that, under the worst-case emergency scenario (a complete power outage across the Refinery), the existing flares D-2 and D-4 at the Flare Section have insufficient capacity. </w:t>
            </w:r>
          </w:p>
          <w:p w:rsidR="00AE0552" w:rsidRDefault="00DC3ACA">
            <w:pPr>
              <w:pStyle w:val="TableParagraph"/>
              <w:spacing w:before="2"/>
              <w:ind w:left="642"/>
              <w:jc w:val="both"/>
              <w:rPr>
                <w:sz w:val="20"/>
              </w:rPr>
            </w:pPr>
            <w:r>
              <w:rPr>
                <w:sz w:val="20"/>
              </w:rPr>
              <w:t>It was therefore decided to replace both flares with higher-ca</w:t>
            </w:r>
            <w:r>
              <w:rPr>
                <w:sz w:val="20"/>
              </w:rPr>
              <w:t xml:space="preserve">pacity units. </w:t>
            </w:r>
          </w:p>
          <w:p w:rsidR="00AE0552" w:rsidRDefault="00DC3ACA">
            <w:pPr>
              <w:pStyle w:val="TableParagraph"/>
              <w:numPr>
                <w:ilvl w:val="0"/>
                <w:numId w:val="5"/>
              </w:numPr>
              <w:tabs>
                <w:tab w:val="left" w:pos="461"/>
              </w:tabs>
              <w:spacing w:before="229"/>
              <w:ind w:left="461" w:hanging="359"/>
              <w:rPr>
                <w:b/>
                <w:sz w:val="24"/>
              </w:rPr>
            </w:pPr>
            <w:r>
              <w:rPr>
                <w:b/>
                <w:sz w:val="24"/>
              </w:rPr>
              <w:t>Description of Process Flow Diagram</w:t>
            </w:r>
          </w:p>
          <w:p w:rsidR="00AE0552" w:rsidRDefault="00DC3ACA">
            <w:pPr>
              <w:pStyle w:val="TableParagraph"/>
              <w:spacing w:before="184"/>
              <w:ind w:left="642" w:right="424"/>
              <w:jc w:val="both"/>
              <w:rPr>
                <w:sz w:val="20"/>
              </w:rPr>
            </w:pPr>
            <w:r>
              <w:rPr>
                <w:sz w:val="20"/>
              </w:rPr>
              <w:t>Currently, flare gas from LK-1 and LK-2, as well as other process units within the Refinery, flows through two equivalent 600 mm diameter headers (one in service and one in reserve) to the Flare Section. T</w:t>
            </w:r>
            <w:r>
              <w:rPr>
                <w:sz w:val="20"/>
              </w:rPr>
              <w:t>here, it enters separation tanks T-1, T-2 and T-3, T-4 (headers I and II, respectively), which are equipped with external water heaters. Gas condensate is separated from the flare gas in these tanks</w:t>
            </w:r>
            <w:proofErr w:type="gramStart"/>
            <w:r>
              <w:rPr>
                <w:sz w:val="20"/>
              </w:rPr>
              <w:t>,.</w:t>
            </w:r>
            <w:proofErr w:type="gramEnd"/>
            <w:r>
              <w:rPr>
                <w:sz w:val="20"/>
              </w:rPr>
              <w:t xml:space="preserve"> Flare gas with a temperature below 60 °C flows from tan</w:t>
            </w:r>
            <w:r>
              <w:rPr>
                <w:sz w:val="20"/>
              </w:rPr>
              <w:t>ks T-1, T-2 and/or T-3, T-4 to tanks T-9 and T-10, where condensate separation occurs. Flare gas with a temperature above 60 °C, along with excess unutilized gas and gas released by safety valves in the Flare Section, is routed via separate headers to flar</w:t>
            </w:r>
            <w:r>
              <w:rPr>
                <w:sz w:val="20"/>
              </w:rPr>
              <w:t>e D-2 for combustion. Tanks T-15 and T-16, equipped with external heaters, are installed upstream of the D-2 flare header to separate gas condensate. The flare gas is routed from T-15 and T-16 through two separate headers, passing through the hydraulic sea</w:t>
            </w:r>
            <w:r>
              <w:rPr>
                <w:sz w:val="20"/>
              </w:rPr>
              <w:t>l HU-6, to the flare D-2 for combustion. The flare D-2 is designed for open and safe burning of gas.</w:t>
            </w:r>
          </w:p>
          <w:p w:rsidR="00AE0552" w:rsidRDefault="00DC3ACA">
            <w:pPr>
              <w:pStyle w:val="TableParagraph"/>
              <w:ind w:left="642" w:right="427"/>
              <w:jc w:val="both"/>
              <w:rPr>
                <w:sz w:val="20"/>
              </w:rPr>
            </w:pPr>
            <w:r>
              <w:rPr>
                <w:sz w:val="20"/>
              </w:rPr>
              <w:t>The 80-meter-high flare D-4 is designed for open, safe, and smokeless combustion of flare gas originating from KT-1/1. The current maximum flow rate of gas</w:t>
            </w:r>
            <w:r>
              <w:rPr>
                <w:sz w:val="20"/>
              </w:rPr>
              <w:t xml:space="preserve"> combusted in the flare is up to 76 tons per hour.  Flare gas from emergency releases is conveyed via a KT-1/1 header, with a diameter of 800 mm, to the condensate separation tank T-21 in the Flare Section. Gas condensate is separated in this tank. Flare g</w:t>
            </w:r>
            <w:r>
              <w:rPr>
                <w:sz w:val="20"/>
              </w:rPr>
              <w:t>as from T-21 is directed through the hydraulic seal HU-8 to flare D-4 for combustion.</w:t>
            </w:r>
          </w:p>
          <w:p w:rsidR="00AE0552" w:rsidRDefault="00AE0552">
            <w:pPr>
              <w:pStyle w:val="TableParagraph"/>
              <w:rPr>
                <w:rFonts w:ascii="Times New Roman"/>
                <w:sz w:val="20"/>
              </w:rPr>
            </w:pPr>
          </w:p>
          <w:p w:rsidR="00AE0552" w:rsidRDefault="00DC3ACA">
            <w:pPr>
              <w:pStyle w:val="TableParagraph"/>
              <w:spacing w:before="1"/>
              <w:ind w:left="642" w:right="425"/>
              <w:jc w:val="both"/>
              <w:rPr>
                <w:sz w:val="20"/>
              </w:rPr>
            </w:pPr>
            <w:r>
              <w:rPr>
                <w:sz w:val="20"/>
              </w:rPr>
              <w:t>Following the replacement of flares D-2 and D-4, flare gas will be routed through hydraulic seal HU-6 via an upgraded 1000 mm diameter pipeline to the flare D-2 for combustion. The new unit will be taller and designed with increased capacity to replace the</w:t>
            </w:r>
            <w:r>
              <w:rPr>
                <w:sz w:val="20"/>
              </w:rPr>
              <w:t xml:space="preserve"> existing flare D-2. Similarly, flare gas will be directed through hydraulic seal HU-8 via the existing 1000 mm pipeline to the new flare D-4.  The upgraded D-4 flare will be designed in accordance with the FLUOR study specifications, with a combustion cap</w:t>
            </w:r>
            <w:r>
              <w:rPr>
                <w:sz w:val="20"/>
              </w:rPr>
              <w:t>acity of up to 635 tonnes per hour (t/h). Both flares, D-2 and D-4, will be designed to ensure that, in the event of an emergency, each can serve as a backup for the other.</w:t>
            </w:r>
          </w:p>
          <w:p w:rsidR="00AE0552" w:rsidRDefault="00AE0552">
            <w:pPr>
              <w:pStyle w:val="TableParagraph"/>
              <w:spacing w:before="183"/>
              <w:rPr>
                <w:rFonts w:ascii="Times New Roman"/>
                <w:sz w:val="20"/>
              </w:rPr>
            </w:pPr>
          </w:p>
          <w:p w:rsidR="00AE0552" w:rsidRDefault="00DC3ACA">
            <w:pPr>
              <w:pStyle w:val="TableParagraph"/>
              <w:numPr>
                <w:ilvl w:val="0"/>
                <w:numId w:val="5"/>
              </w:numPr>
              <w:tabs>
                <w:tab w:val="left" w:pos="642"/>
              </w:tabs>
              <w:ind w:left="642" w:hanging="540"/>
              <w:rPr>
                <w:b/>
                <w:sz w:val="24"/>
              </w:rPr>
            </w:pPr>
            <w:r>
              <w:rPr>
                <w:b/>
                <w:sz w:val="24"/>
              </w:rPr>
              <w:t>Description of separate design disciplines</w:t>
            </w:r>
          </w:p>
          <w:p w:rsidR="00AE0552" w:rsidRDefault="00DC3ACA">
            <w:pPr>
              <w:pStyle w:val="TableParagraph"/>
              <w:numPr>
                <w:ilvl w:val="1"/>
                <w:numId w:val="5"/>
              </w:numPr>
              <w:tabs>
                <w:tab w:val="left" w:pos="893"/>
              </w:tabs>
              <w:spacing w:before="186"/>
              <w:ind w:left="893" w:hanging="431"/>
              <w:rPr>
                <w:b/>
                <w:sz w:val="24"/>
              </w:rPr>
            </w:pPr>
            <w:r>
              <w:rPr>
                <w:b/>
                <w:sz w:val="24"/>
              </w:rPr>
              <w:t xml:space="preserve">Process discipline </w:t>
            </w:r>
          </w:p>
          <w:p w:rsidR="00AE0552" w:rsidRDefault="00DC3ACA">
            <w:pPr>
              <w:pStyle w:val="TableParagraph"/>
              <w:spacing w:before="275"/>
              <w:ind w:left="669" w:right="424"/>
              <w:jc w:val="both"/>
              <w:rPr>
                <w:sz w:val="20"/>
              </w:rPr>
            </w:pPr>
            <w:r>
              <w:rPr>
                <w:sz w:val="20"/>
              </w:rPr>
              <w:t xml:space="preserve">Process discipline </w:t>
            </w:r>
            <w:r>
              <w:rPr>
                <w:sz w:val="20"/>
              </w:rPr>
              <w:t>encompasses the design of flare systems D-2 and D-4, based on OLPP225 design proposals and associated diagrams. Key deliverables include a process description, P&amp;ID drawings, calculations (including thermal radiation assessments for flares D-2 and D-4), da</w:t>
            </w:r>
            <w:r>
              <w:rPr>
                <w:sz w:val="20"/>
              </w:rPr>
              <w:t>tasheets for relevant instruments, equipment and flares D-2 and D-4.   Where relevant, datasheets for heat-tracing equipment must be prepared.</w:t>
            </w:r>
          </w:p>
          <w:p w:rsidR="00AE0552" w:rsidRDefault="00DC3ACA">
            <w:pPr>
              <w:pStyle w:val="TableParagraph"/>
              <w:ind w:left="669" w:right="209"/>
              <w:rPr>
                <w:sz w:val="20"/>
              </w:rPr>
            </w:pPr>
            <w:r>
              <w:rPr>
                <w:sz w:val="20"/>
              </w:rPr>
              <w:t xml:space="preserve">As part of the process discipline, an automation task must be created for detailed instrument design. Updates to </w:t>
            </w:r>
            <w:r>
              <w:rPr>
                <w:sz w:val="20"/>
              </w:rPr>
              <w:t>existing potentially explosive atmospheres and the preparation of plans of new hazardous areas must be carried out, along with the necessary dispersion calculations for explosive materials. It is assumed that petroleum gas entering the flare system is clas</w:t>
            </w:r>
            <w:r>
              <w:rPr>
                <w:sz w:val="20"/>
              </w:rPr>
              <w:t>sified as IIC T3.</w:t>
            </w:r>
          </w:p>
          <w:p w:rsidR="00AE0552" w:rsidRDefault="00DC3ACA">
            <w:pPr>
              <w:pStyle w:val="TableParagraph"/>
              <w:spacing w:before="1"/>
              <w:ind w:left="669"/>
              <w:rPr>
                <w:sz w:val="20"/>
              </w:rPr>
            </w:pPr>
            <w:r>
              <w:rPr>
                <w:sz w:val="20"/>
              </w:rPr>
              <w:t>The existing explosive atmosphere is classified as 1 IIC T3.</w:t>
            </w:r>
          </w:p>
        </w:tc>
      </w:tr>
      <w:tr w:rsidR="00AE0552">
        <w:trPr>
          <w:trHeight w:val="231"/>
        </w:trPr>
        <w:tc>
          <w:tcPr>
            <w:tcW w:w="1203" w:type="dxa"/>
            <w:tcBorders>
              <w:bottom w:val="single" w:sz="4" w:space="0" w:color="000000"/>
            </w:tcBorders>
          </w:tcPr>
          <w:p w:rsidR="00AE0552" w:rsidRDefault="00AE0552">
            <w:pPr>
              <w:pStyle w:val="TableParagraph"/>
              <w:rPr>
                <w:rFonts w:ascii="Times New Roman"/>
                <w:sz w:val="16"/>
              </w:rPr>
            </w:pPr>
          </w:p>
        </w:tc>
        <w:tc>
          <w:tcPr>
            <w:tcW w:w="1099" w:type="dxa"/>
            <w:gridSpan w:val="2"/>
            <w:tcBorders>
              <w:bottom w:val="single" w:sz="4" w:space="0" w:color="000000"/>
            </w:tcBorders>
          </w:tcPr>
          <w:p w:rsidR="00AE0552" w:rsidRDefault="00AE0552">
            <w:pPr>
              <w:pStyle w:val="TableParagraph"/>
              <w:rPr>
                <w:rFonts w:ascii="Times New Roman"/>
                <w:sz w:val="16"/>
              </w:rPr>
            </w:pPr>
          </w:p>
        </w:tc>
        <w:tc>
          <w:tcPr>
            <w:tcW w:w="8318" w:type="dxa"/>
            <w:gridSpan w:val="11"/>
            <w:tcBorders>
              <w:bottom w:val="single" w:sz="4" w:space="0" w:color="000000"/>
            </w:tcBorders>
          </w:tcPr>
          <w:p w:rsidR="00AE0552" w:rsidRDefault="00AE0552">
            <w:pPr>
              <w:pStyle w:val="TableParagraph"/>
              <w:rPr>
                <w:rFonts w:ascii="Times New Roman"/>
                <w:sz w:val="16"/>
              </w:rPr>
            </w:pPr>
          </w:p>
        </w:tc>
      </w:tr>
      <w:tr w:rsidR="00AE0552">
        <w:trPr>
          <w:trHeight w:val="282"/>
        </w:trPr>
        <w:tc>
          <w:tcPr>
            <w:tcW w:w="1203" w:type="dxa"/>
            <w:tcBorders>
              <w:top w:val="single" w:sz="4" w:space="0" w:color="000000"/>
            </w:tcBorders>
          </w:tcPr>
          <w:p w:rsidR="00AE0552" w:rsidRDefault="00DC3ACA">
            <w:pPr>
              <w:pStyle w:val="TableParagraph"/>
              <w:spacing w:before="46"/>
              <w:ind w:left="174"/>
              <w:rPr>
                <w:sz w:val="16"/>
              </w:rPr>
            </w:pPr>
            <w:r>
              <w:rPr>
                <w:sz w:val="16"/>
              </w:rPr>
              <w:t>0</w:t>
            </w:r>
          </w:p>
        </w:tc>
        <w:tc>
          <w:tcPr>
            <w:tcW w:w="1099" w:type="dxa"/>
            <w:gridSpan w:val="2"/>
            <w:tcBorders>
              <w:top w:val="single" w:sz="4" w:space="0" w:color="000000"/>
            </w:tcBorders>
          </w:tcPr>
          <w:p w:rsidR="00AE0552" w:rsidRDefault="00DC3ACA">
            <w:pPr>
              <w:pStyle w:val="TableParagraph"/>
              <w:spacing w:before="46"/>
              <w:ind w:left="109"/>
              <w:rPr>
                <w:sz w:val="16"/>
              </w:rPr>
            </w:pPr>
            <w:r>
              <w:rPr>
                <w:sz w:val="16"/>
              </w:rPr>
              <w:t>2025-10-08</w:t>
            </w:r>
          </w:p>
        </w:tc>
        <w:tc>
          <w:tcPr>
            <w:tcW w:w="8318" w:type="dxa"/>
            <w:gridSpan w:val="11"/>
            <w:tcBorders>
              <w:top w:val="single" w:sz="4" w:space="0" w:color="000000"/>
            </w:tcBorders>
          </w:tcPr>
          <w:p w:rsidR="00AE0552" w:rsidRDefault="00DC3ACA">
            <w:pPr>
              <w:pStyle w:val="TableParagraph"/>
              <w:spacing w:before="26"/>
              <w:ind w:left="26"/>
              <w:jc w:val="center"/>
              <w:rPr>
                <w:sz w:val="20"/>
              </w:rPr>
            </w:pPr>
            <w:r>
              <w:rPr>
                <w:sz w:val="20"/>
              </w:rPr>
              <w:t>Information for detailed engineering design</w:t>
            </w:r>
          </w:p>
        </w:tc>
      </w:tr>
      <w:tr w:rsidR="00AE0552">
        <w:trPr>
          <w:trHeight w:val="284"/>
        </w:trPr>
        <w:tc>
          <w:tcPr>
            <w:tcW w:w="1203" w:type="dxa"/>
          </w:tcPr>
          <w:p w:rsidR="00AE0552" w:rsidRDefault="00DC3ACA">
            <w:pPr>
              <w:pStyle w:val="TableParagraph"/>
              <w:spacing w:before="28"/>
              <w:ind w:left="174"/>
              <w:rPr>
                <w:sz w:val="20"/>
              </w:rPr>
            </w:pPr>
            <w:r>
              <w:rPr>
                <w:sz w:val="20"/>
              </w:rPr>
              <w:t>Rev.</w:t>
            </w:r>
          </w:p>
        </w:tc>
        <w:tc>
          <w:tcPr>
            <w:tcW w:w="1099" w:type="dxa"/>
            <w:gridSpan w:val="2"/>
          </w:tcPr>
          <w:p w:rsidR="00AE0552" w:rsidRDefault="00DC3ACA">
            <w:pPr>
              <w:pStyle w:val="TableParagraph"/>
              <w:spacing w:before="28"/>
              <w:ind w:left="109"/>
              <w:rPr>
                <w:sz w:val="20"/>
              </w:rPr>
            </w:pPr>
            <w:r>
              <w:rPr>
                <w:sz w:val="20"/>
              </w:rPr>
              <w:t>Date</w:t>
            </w:r>
          </w:p>
        </w:tc>
        <w:tc>
          <w:tcPr>
            <w:tcW w:w="8318" w:type="dxa"/>
            <w:gridSpan w:val="11"/>
          </w:tcPr>
          <w:p w:rsidR="00AE0552" w:rsidRDefault="00DC3ACA">
            <w:pPr>
              <w:pStyle w:val="TableParagraph"/>
              <w:spacing w:before="28"/>
              <w:ind w:left="26" w:right="2"/>
              <w:jc w:val="center"/>
              <w:rPr>
                <w:sz w:val="20"/>
              </w:rPr>
            </w:pPr>
            <w:r>
              <w:rPr>
                <w:sz w:val="20"/>
              </w:rPr>
              <w:t>Description (reason) of change</w:t>
            </w:r>
          </w:p>
        </w:tc>
      </w:tr>
      <w:tr w:rsidR="00AE0552">
        <w:trPr>
          <w:trHeight w:val="859"/>
        </w:trPr>
        <w:tc>
          <w:tcPr>
            <w:tcW w:w="4038" w:type="dxa"/>
            <w:gridSpan w:val="5"/>
          </w:tcPr>
          <w:p w:rsidR="00AE0552" w:rsidRDefault="00AE0552">
            <w:pPr>
              <w:pStyle w:val="TableParagraph"/>
              <w:spacing w:before="11"/>
              <w:rPr>
                <w:rFonts w:ascii="Times New Roman"/>
                <w:sz w:val="9"/>
              </w:rPr>
            </w:pPr>
          </w:p>
          <w:p w:rsidR="00AE0552" w:rsidRDefault="00DC3ACA">
            <w:pPr>
              <w:pStyle w:val="TableParagraph"/>
              <w:ind w:left="319"/>
              <w:rPr>
                <w:rFonts w:ascii="Times New Roman"/>
                <w:sz w:val="20"/>
              </w:rPr>
            </w:pPr>
            <w:r>
              <w:rPr>
                <w:rFonts w:ascii="Times New Roman"/>
                <w:noProof/>
                <w:sz w:val="20"/>
                <w:lang w:val="lt-LT" w:eastAsia="lt-LT"/>
              </w:rPr>
              <w:drawing>
                <wp:inline distT="0" distB="0" distL="0" distR="0">
                  <wp:extent cx="1042727" cy="288036"/>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042727" cy="288036"/>
                          </a:xfrm>
                          <a:prstGeom prst="rect">
                            <a:avLst/>
                          </a:prstGeom>
                        </pic:spPr>
                      </pic:pic>
                    </a:graphicData>
                  </a:graphic>
                </wp:inline>
              </w:drawing>
            </w:r>
          </w:p>
        </w:tc>
        <w:tc>
          <w:tcPr>
            <w:tcW w:w="1703" w:type="dxa"/>
            <w:gridSpan w:val="2"/>
          </w:tcPr>
          <w:p w:rsidR="00AE0552" w:rsidRDefault="00AE0552">
            <w:pPr>
              <w:pStyle w:val="TableParagraph"/>
              <w:spacing w:before="16"/>
              <w:rPr>
                <w:rFonts w:ascii="Times New Roman"/>
                <w:sz w:val="24"/>
              </w:rPr>
            </w:pPr>
          </w:p>
          <w:p w:rsidR="00AE0552" w:rsidRDefault="00DC3ACA">
            <w:pPr>
              <w:pStyle w:val="TableParagraph"/>
              <w:ind w:left="327"/>
              <w:rPr>
                <w:sz w:val="24"/>
              </w:rPr>
            </w:pPr>
            <w:r>
              <w:rPr>
                <w:sz w:val="24"/>
              </w:rPr>
              <w:t>OLPP225</w:t>
            </w:r>
          </w:p>
        </w:tc>
        <w:tc>
          <w:tcPr>
            <w:tcW w:w="4879" w:type="dxa"/>
            <w:gridSpan w:val="7"/>
          </w:tcPr>
          <w:p w:rsidR="00AE0552" w:rsidRDefault="00AE0552">
            <w:pPr>
              <w:pStyle w:val="TableParagraph"/>
              <w:spacing w:before="85"/>
              <w:rPr>
                <w:rFonts w:ascii="Times New Roman"/>
                <w:sz w:val="20"/>
              </w:rPr>
            </w:pPr>
          </w:p>
          <w:p w:rsidR="00AE0552" w:rsidRDefault="00DC3ACA">
            <w:pPr>
              <w:pStyle w:val="TableParagraph"/>
              <w:ind w:left="105"/>
              <w:rPr>
                <w:sz w:val="20"/>
              </w:rPr>
            </w:pPr>
            <w:r>
              <w:rPr>
                <w:sz w:val="20"/>
              </w:rPr>
              <w:t>930-00, Replacement of OS-3 Flares D-2, D-4</w:t>
            </w:r>
          </w:p>
        </w:tc>
      </w:tr>
      <w:tr w:rsidR="00AE0552">
        <w:trPr>
          <w:trHeight w:val="283"/>
        </w:trPr>
        <w:tc>
          <w:tcPr>
            <w:tcW w:w="1311" w:type="dxa"/>
            <w:gridSpan w:val="2"/>
          </w:tcPr>
          <w:p w:rsidR="00AE0552" w:rsidRDefault="00DC3ACA">
            <w:pPr>
              <w:pStyle w:val="TableParagraph"/>
              <w:spacing w:before="39"/>
              <w:ind w:left="174"/>
              <w:rPr>
                <w:sz w:val="18"/>
              </w:rPr>
            </w:pPr>
            <w:r>
              <w:rPr>
                <w:sz w:val="18"/>
              </w:rPr>
              <w:t>Position</w:t>
            </w:r>
          </w:p>
        </w:tc>
        <w:tc>
          <w:tcPr>
            <w:tcW w:w="2727" w:type="dxa"/>
            <w:gridSpan w:val="3"/>
          </w:tcPr>
          <w:p w:rsidR="00AE0552" w:rsidRDefault="00DC3ACA">
            <w:pPr>
              <w:pStyle w:val="TableParagraph"/>
              <w:spacing w:before="27"/>
              <w:ind w:left="39"/>
              <w:jc w:val="center"/>
              <w:rPr>
                <w:sz w:val="20"/>
              </w:rPr>
            </w:pPr>
            <w:r>
              <w:rPr>
                <w:sz w:val="20"/>
              </w:rPr>
              <w:t>Surname</w:t>
            </w:r>
          </w:p>
        </w:tc>
        <w:tc>
          <w:tcPr>
            <w:tcW w:w="1703" w:type="dxa"/>
            <w:gridSpan w:val="2"/>
          </w:tcPr>
          <w:p w:rsidR="00AE0552" w:rsidRDefault="00DC3ACA">
            <w:pPr>
              <w:pStyle w:val="TableParagraph"/>
              <w:spacing w:before="27"/>
              <w:ind w:left="106"/>
              <w:rPr>
                <w:sz w:val="20"/>
              </w:rPr>
            </w:pPr>
            <w:r>
              <w:rPr>
                <w:sz w:val="20"/>
              </w:rPr>
              <w:t>Signature, date</w:t>
            </w:r>
          </w:p>
        </w:tc>
        <w:tc>
          <w:tcPr>
            <w:tcW w:w="4879" w:type="dxa"/>
            <w:gridSpan w:val="7"/>
            <w:vMerge w:val="restart"/>
          </w:tcPr>
          <w:p w:rsidR="00AE0552" w:rsidRDefault="00DC3ACA">
            <w:pPr>
              <w:pStyle w:val="TableParagraph"/>
              <w:spacing w:before="57"/>
              <w:ind w:left="639" w:right="610"/>
              <w:jc w:val="center"/>
              <w:rPr>
                <w:sz w:val="24"/>
              </w:rPr>
            </w:pPr>
            <w:r>
              <w:rPr>
                <w:sz w:val="24"/>
              </w:rPr>
              <w:t>Explanatory note of design proposals</w:t>
            </w:r>
          </w:p>
          <w:p w:rsidR="00AE0552" w:rsidRDefault="00DC3ACA">
            <w:pPr>
              <w:pStyle w:val="TableParagraph"/>
              <w:ind w:left="193" w:right="165"/>
              <w:jc w:val="center"/>
              <w:rPr>
                <w:sz w:val="24"/>
              </w:rPr>
            </w:pPr>
            <w:r>
              <w:rPr>
                <w:sz w:val="24"/>
              </w:rPr>
              <w:t xml:space="preserve">For process discipline </w:t>
            </w:r>
          </w:p>
        </w:tc>
      </w:tr>
      <w:tr w:rsidR="00AE0552">
        <w:trPr>
          <w:trHeight w:val="112"/>
        </w:trPr>
        <w:tc>
          <w:tcPr>
            <w:tcW w:w="1311" w:type="dxa"/>
            <w:gridSpan w:val="2"/>
            <w:vMerge w:val="restart"/>
            <w:tcBorders>
              <w:bottom w:val="single" w:sz="4" w:space="0" w:color="000000"/>
            </w:tcBorders>
          </w:tcPr>
          <w:p w:rsidR="00AE0552" w:rsidRDefault="00DC3ACA">
            <w:pPr>
              <w:pStyle w:val="TableParagraph"/>
              <w:spacing w:before="50"/>
              <w:ind w:left="78"/>
              <w:rPr>
                <w:sz w:val="16"/>
              </w:rPr>
            </w:pPr>
            <w:r>
              <w:rPr>
                <w:sz w:val="16"/>
              </w:rPr>
              <w:t>Operations Support Manager</w:t>
            </w:r>
          </w:p>
        </w:tc>
        <w:tc>
          <w:tcPr>
            <w:tcW w:w="1699" w:type="dxa"/>
            <w:gridSpan w:val="2"/>
            <w:vMerge w:val="restart"/>
            <w:tcBorders>
              <w:bottom w:val="single" w:sz="4" w:space="0" w:color="000000"/>
            </w:tcBorders>
          </w:tcPr>
          <w:p w:rsidR="00AE0552" w:rsidRDefault="00DC3ACA">
            <w:pPr>
              <w:pStyle w:val="TableParagraph"/>
              <w:spacing w:before="50"/>
              <w:ind w:left="106"/>
              <w:rPr>
                <w:sz w:val="16"/>
              </w:rPr>
            </w:pPr>
            <w:r>
              <w:rPr>
                <w:sz w:val="16"/>
              </w:rPr>
              <w:t>A. Vasiliauskas</w:t>
            </w:r>
          </w:p>
        </w:tc>
        <w:tc>
          <w:tcPr>
            <w:tcW w:w="1028" w:type="dxa"/>
            <w:vMerge w:val="restart"/>
            <w:tcBorders>
              <w:bottom w:val="single" w:sz="4" w:space="0" w:color="000000"/>
            </w:tcBorders>
          </w:tcPr>
          <w:p w:rsidR="00AE0552" w:rsidRDefault="00DC3ACA">
            <w:pPr>
              <w:pStyle w:val="TableParagraph"/>
              <w:spacing w:before="50"/>
              <w:ind w:left="138"/>
              <w:rPr>
                <w:sz w:val="16"/>
              </w:rPr>
            </w:pPr>
            <w:r>
              <w:rPr>
                <w:sz w:val="16"/>
              </w:rPr>
              <w:t>Agreed with</w:t>
            </w:r>
          </w:p>
        </w:tc>
        <w:tc>
          <w:tcPr>
            <w:tcW w:w="760" w:type="dxa"/>
            <w:tcBorders>
              <w:bottom w:val="nil"/>
              <w:right w:val="nil"/>
            </w:tcBorders>
          </w:tcPr>
          <w:p w:rsidR="00AE0552" w:rsidRDefault="00DC3ACA">
            <w:pPr>
              <w:pStyle w:val="TableParagraph"/>
              <w:spacing w:before="15" w:line="78" w:lineRule="exact"/>
              <w:ind w:left="47"/>
              <w:rPr>
                <w:rFonts w:ascii="Trebuchet MS"/>
                <w:sz w:val="10"/>
              </w:rPr>
            </w:pPr>
            <w:r>
              <w:rPr>
                <w:rFonts w:ascii="Trebuchet MS"/>
                <w:sz w:val="10"/>
              </w:rPr>
              <w:t>ARVYDAS</w:t>
            </w:r>
          </w:p>
        </w:tc>
        <w:tc>
          <w:tcPr>
            <w:tcW w:w="943" w:type="dxa"/>
            <w:tcBorders>
              <w:left w:val="nil"/>
              <w:bottom w:val="nil"/>
            </w:tcBorders>
          </w:tcPr>
          <w:p w:rsidR="00AE0552" w:rsidRDefault="00DC3ACA">
            <w:pPr>
              <w:pStyle w:val="TableParagraph"/>
              <w:spacing w:before="45" w:line="48" w:lineRule="exact"/>
              <w:ind w:left="128"/>
              <w:rPr>
                <w:rFonts w:ascii="Trebuchet MS"/>
                <w:sz w:val="5"/>
              </w:rPr>
            </w:pPr>
            <w:r>
              <w:rPr>
                <w:rFonts w:ascii="Trebuchet MS"/>
                <w:noProof/>
                <w:sz w:val="5"/>
                <w:lang w:val="lt-LT" w:eastAsia="lt-LT"/>
              </w:rPr>
              <mc:AlternateContent>
                <mc:Choice Requires="wpg">
                  <w:drawing>
                    <wp:anchor distT="0" distB="0" distL="0" distR="0" simplePos="0" relativeHeight="487412736" behindDoc="1" locked="0" layoutInCell="1" allowOverlap="1">
                      <wp:simplePos x="0" y="0"/>
                      <wp:positionH relativeFrom="column">
                        <wp:posOffset>-19512</wp:posOffset>
                      </wp:positionH>
                      <wp:positionV relativeFrom="paragraph">
                        <wp:posOffset>12028</wp:posOffset>
                      </wp:positionV>
                      <wp:extent cx="157480" cy="34226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7480" cy="342265"/>
                                <a:chOff x="0" y="0"/>
                                <a:chExt cx="157480" cy="342265"/>
                              </a:xfrm>
                            </wpg:grpSpPr>
                            <pic:pic xmlns:pic="http://schemas.openxmlformats.org/drawingml/2006/picture">
                              <pic:nvPicPr>
                                <pic:cNvPr id="3" name="Image 3"/>
                                <pic:cNvPicPr/>
                              </pic:nvPicPr>
                              <pic:blipFill>
                                <a:blip r:embed="rId6" cstate="print"/>
                                <a:stretch>
                                  <a:fillRect/>
                                </a:stretch>
                              </pic:blipFill>
                              <pic:spPr>
                                <a:xfrm>
                                  <a:off x="4646" y="191310"/>
                                  <a:ext cx="150259" cy="150871"/>
                                </a:xfrm>
                                <a:prstGeom prst="rect">
                                  <a:avLst/>
                                </a:prstGeom>
                              </pic:spPr>
                            </pic:pic>
                            <pic:pic xmlns:pic="http://schemas.openxmlformats.org/drawingml/2006/picture">
                              <pic:nvPicPr>
                                <pic:cNvPr id="4" name="Image 4"/>
                                <pic:cNvPicPr/>
                              </pic:nvPicPr>
                              <pic:blipFill>
                                <a:blip r:embed="rId7" cstate="print"/>
                                <a:stretch>
                                  <a:fillRect/>
                                </a:stretch>
                              </pic:blipFill>
                              <pic:spPr>
                                <a:xfrm>
                                  <a:off x="0" y="0"/>
                                  <a:ext cx="156977" cy="157616"/>
                                </a:xfrm>
                                <a:prstGeom prst="rect">
                                  <a:avLst/>
                                </a:prstGeom>
                              </pic:spPr>
                            </pic:pic>
                          </wpg:wgp>
                        </a:graphicData>
                      </a:graphic>
                    </wp:anchor>
                  </w:drawing>
                </mc:Choice>
                <mc:Fallback>
                  <w:pict>
                    <v:group w14:anchorId="0C7D70CF" id="Group 2" o:spid="_x0000_s1026" style="position:absolute;margin-left:-1.55pt;margin-top:.95pt;width:12.4pt;height:26.95pt;z-index:-15903744;mso-wrap-distance-left:0;mso-wrap-distance-right:0" coordsize="157480,3422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4646;top:191310;width:150259;height:150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">
                        <v:imagedata r:id="rId8" o:title=""/>
                      </v:shape>
                      <v:shape id="Image 4" o:spid="_x0000_s1028" type="#_x0000_t75" style="position:absolute;width:156977;height:157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">
                        <v:imagedata r:id="rId9" o:title=""/>
                      </v:shape>
                    </v:group>
                  </w:pict>
                </mc:Fallback>
              </mc:AlternateContent>
            </w:r>
            <w:r>
              <w:rPr>
                <w:rFonts w:ascii="Trebuchet MS"/>
                <w:sz w:val="5"/>
              </w:rPr>
              <w:t>Digitally signed by ARVYDAS</w:t>
            </w:r>
          </w:p>
        </w:tc>
        <w:tc>
          <w:tcPr>
            <w:tcW w:w="4879" w:type="dxa"/>
            <w:gridSpan w:val="7"/>
            <w:vMerge/>
            <w:tcBorders>
              <w:top w:val="nil"/>
            </w:tcBorders>
          </w:tcPr>
          <w:p w:rsidR="00AE0552" w:rsidRDefault="00AE0552">
            <w:pPr>
              <w:rPr>
                <w:sz w:val="2"/>
                <w:szCs w:val="2"/>
              </w:rPr>
            </w:pPr>
          </w:p>
        </w:tc>
      </w:tr>
      <w:tr w:rsidR="00AE0552">
        <w:trPr>
          <w:trHeight w:val="109"/>
        </w:trPr>
        <w:tc>
          <w:tcPr>
            <w:tcW w:w="1311" w:type="dxa"/>
            <w:gridSpan w:val="2"/>
            <w:vMerge/>
            <w:tcBorders>
              <w:top w:val="nil"/>
              <w:bottom w:val="single" w:sz="4" w:space="0" w:color="000000"/>
            </w:tcBorders>
          </w:tcPr>
          <w:p w:rsidR="00AE0552" w:rsidRDefault="00AE0552">
            <w:pPr>
              <w:rPr>
                <w:sz w:val="2"/>
                <w:szCs w:val="2"/>
              </w:rPr>
            </w:pPr>
          </w:p>
        </w:tc>
        <w:tc>
          <w:tcPr>
            <w:tcW w:w="1699" w:type="dxa"/>
            <w:gridSpan w:val="2"/>
            <w:vMerge/>
            <w:tcBorders>
              <w:top w:val="nil"/>
              <w:bottom w:val="single" w:sz="4" w:space="0" w:color="000000"/>
            </w:tcBorders>
          </w:tcPr>
          <w:p w:rsidR="00AE0552" w:rsidRDefault="00AE0552">
            <w:pPr>
              <w:rPr>
                <w:sz w:val="2"/>
                <w:szCs w:val="2"/>
              </w:rPr>
            </w:pPr>
          </w:p>
        </w:tc>
        <w:tc>
          <w:tcPr>
            <w:tcW w:w="1028" w:type="dxa"/>
            <w:vMerge/>
            <w:tcBorders>
              <w:top w:val="nil"/>
              <w:bottom w:val="single" w:sz="4" w:space="0" w:color="000000"/>
            </w:tcBorders>
          </w:tcPr>
          <w:p w:rsidR="00AE0552" w:rsidRDefault="00AE0552">
            <w:pPr>
              <w:rPr>
                <w:sz w:val="2"/>
                <w:szCs w:val="2"/>
              </w:rPr>
            </w:pPr>
          </w:p>
        </w:tc>
        <w:tc>
          <w:tcPr>
            <w:tcW w:w="760" w:type="dxa"/>
            <w:tcBorders>
              <w:top w:val="nil"/>
              <w:bottom w:val="single" w:sz="4" w:space="0" w:color="000000"/>
              <w:right w:val="nil"/>
            </w:tcBorders>
          </w:tcPr>
          <w:p w:rsidR="00AE0552" w:rsidRDefault="00DC3ACA">
            <w:pPr>
              <w:pStyle w:val="TableParagraph"/>
              <w:spacing w:line="89" w:lineRule="exact"/>
              <w:ind w:left="47"/>
              <w:rPr>
                <w:rFonts w:ascii="Trebuchet MS"/>
                <w:sz w:val="10"/>
              </w:rPr>
            </w:pPr>
            <w:r>
              <w:rPr>
                <w:rFonts w:ascii="Trebuchet MS"/>
                <w:sz w:val="10"/>
              </w:rPr>
              <w:t>VASILIAUSKAS</w:t>
            </w:r>
          </w:p>
        </w:tc>
        <w:tc>
          <w:tcPr>
            <w:tcW w:w="943" w:type="dxa"/>
            <w:tcBorders>
              <w:top w:val="nil"/>
              <w:left w:val="nil"/>
              <w:bottom w:val="single" w:sz="4" w:space="0" w:color="000000"/>
            </w:tcBorders>
          </w:tcPr>
          <w:p w:rsidR="00AE0552" w:rsidRDefault="00DC3ACA">
            <w:pPr>
              <w:pStyle w:val="TableParagraph"/>
              <w:spacing w:before="13"/>
              <w:ind w:left="128"/>
              <w:rPr>
                <w:rFonts w:ascii="Trebuchet MS"/>
                <w:sz w:val="5"/>
              </w:rPr>
            </w:pPr>
            <w:r>
              <w:rPr>
                <w:rFonts w:ascii="Trebuchet MS"/>
                <w:sz w:val="5"/>
              </w:rPr>
              <w:t>Date: 2025.10.08 10:23:14 +03'00'</w:t>
            </w:r>
          </w:p>
        </w:tc>
        <w:tc>
          <w:tcPr>
            <w:tcW w:w="4879" w:type="dxa"/>
            <w:gridSpan w:val="7"/>
            <w:vMerge/>
            <w:tcBorders>
              <w:top w:val="nil"/>
            </w:tcBorders>
          </w:tcPr>
          <w:p w:rsidR="00AE0552" w:rsidRDefault="00AE0552">
            <w:pPr>
              <w:rPr>
                <w:sz w:val="2"/>
                <w:szCs w:val="2"/>
              </w:rPr>
            </w:pPr>
          </w:p>
        </w:tc>
      </w:tr>
      <w:tr w:rsidR="00AE0552">
        <w:trPr>
          <w:trHeight w:val="97"/>
        </w:trPr>
        <w:tc>
          <w:tcPr>
            <w:tcW w:w="1311" w:type="dxa"/>
            <w:gridSpan w:val="2"/>
            <w:vMerge w:val="restart"/>
            <w:tcBorders>
              <w:top w:val="single" w:sz="4" w:space="0" w:color="000000"/>
              <w:bottom w:val="single" w:sz="4" w:space="0" w:color="000000"/>
            </w:tcBorders>
          </w:tcPr>
          <w:p w:rsidR="00AE0552" w:rsidRDefault="00DC3ACA">
            <w:pPr>
              <w:pStyle w:val="TableParagraph"/>
              <w:spacing w:before="31"/>
              <w:ind w:left="174"/>
              <w:rPr>
                <w:sz w:val="16"/>
              </w:rPr>
            </w:pPr>
            <w:r>
              <w:rPr>
                <w:sz w:val="16"/>
              </w:rPr>
              <w:t xml:space="preserve">Process Engineer </w:t>
            </w:r>
          </w:p>
        </w:tc>
        <w:tc>
          <w:tcPr>
            <w:tcW w:w="1699" w:type="dxa"/>
            <w:gridSpan w:val="2"/>
            <w:vMerge w:val="restart"/>
            <w:tcBorders>
              <w:top w:val="single" w:sz="4" w:space="0" w:color="000000"/>
              <w:bottom w:val="single" w:sz="4" w:space="0" w:color="000000"/>
            </w:tcBorders>
          </w:tcPr>
          <w:p w:rsidR="00AE0552" w:rsidRDefault="00DC3ACA">
            <w:pPr>
              <w:pStyle w:val="TableParagraph"/>
              <w:spacing w:before="31"/>
              <w:ind w:left="106"/>
              <w:rPr>
                <w:sz w:val="16"/>
              </w:rPr>
            </w:pPr>
            <w:r>
              <w:rPr>
                <w:sz w:val="16"/>
              </w:rPr>
              <w:t xml:space="preserve">E. </w:t>
            </w:r>
            <w:proofErr w:type="spellStart"/>
            <w:r>
              <w:rPr>
                <w:sz w:val="16"/>
              </w:rPr>
              <w:t>Blauzdys</w:t>
            </w:r>
            <w:proofErr w:type="spellEnd"/>
          </w:p>
        </w:tc>
        <w:tc>
          <w:tcPr>
            <w:tcW w:w="1028" w:type="dxa"/>
            <w:vMerge w:val="restart"/>
            <w:tcBorders>
              <w:top w:val="single" w:sz="4" w:space="0" w:color="000000"/>
              <w:bottom w:val="single" w:sz="4" w:space="0" w:color="000000"/>
            </w:tcBorders>
          </w:tcPr>
          <w:p w:rsidR="00AE0552" w:rsidRDefault="00DC3ACA">
            <w:pPr>
              <w:pStyle w:val="TableParagraph"/>
              <w:spacing w:before="31"/>
              <w:ind w:left="155"/>
              <w:rPr>
                <w:sz w:val="16"/>
              </w:rPr>
            </w:pPr>
            <w:r>
              <w:rPr>
                <w:sz w:val="16"/>
              </w:rPr>
              <w:t>Prepared by:</w:t>
            </w:r>
          </w:p>
        </w:tc>
        <w:tc>
          <w:tcPr>
            <w:tcW w:w="760" w:type="dxa"/>
            <w:tcBorders>
              <w:top w:val="single" w:sz="4" w:space="0" w:color="000000"/>
              <w:bottom w:val="nil"/>
              <w:right w:val="nil"/>
            </w:tcBorders>
          </w:tcPr>
          <w:p w:rsidR="00AE0552" w:rsidRDefault="00DC3ACA">
            <w:pPr>
              <w:pStyle w:val="TableParagraph"/>
              <w:spacing w:before="10" w:line="67" w:lineRule="exact"/>
              <w:ind w:left="65"/>
              <w:rPr>
                <w:rFonts w:ascii="Trebuchet MS"/>
                <w:sz w:val="9"/>
              </w:rPr>
            </w:pPr>
            <w:r>
              <w:rPr>
                <w:rFonts w:ascii="Trebuchet MS"/>
                <w:sz w:val="9"/>
              </w:rPr>
              <w:t>EDGARAS</w:t>
            </w:r>
          </w:p>
        </w:tc>
        <w:tc>
          <w:tcPr>
            <w:tcW w:w="943" w:type="dxa"/>
            <w:tcBorders>
              <w:top w:val="single" w:sz="4" w:space="0" w:color="000000"/>
              <w:left w:val="nil"/>
              <w:bottom w:val="nil"/>
            </w:tcBorders>
          </w:tcPr>
          <w:p w:rsidR="00AE0552" w:rsidRDefault="00DC3ACA">
            <w:pPr>
              <w:pStyle w:val="TableParagraph"/>
              <w:spacing w:before="31" w:line="46" w:lineRule="exact"/>
              <w:ind w:left="130"/>
              <w:rPr>
                <w:rFonts w:ascii="Trebuchet MS"/>
                <w:sz w:val="5"/>
              </w:rPr>
            </w:pPr>
            <w:r>
              <w:rPr>
                <w:rFonts w:ascii="Trebuchet MS"/>
                <w:sz w:val="5"/>
              </w:rPr>
              <w:t>Digitally signed by EDGARAS</w:t>
            </w:r>
          </w:p>
        </w:tc>
        <w:tc>
          <w:tcPr>
            <w:tcW w:w="4879" w:type="dxa"/>
            <w:gridSpan w:val="7"/>
            <w:vMerge/>
            <w:tcBorders>
              <w:top w:val="nil"/>
            </w:tcBorders>
          </w:tcPr>
          <w:p w:rsidR="00AE0552" w:rsidRDefault="00AE0552">
            <w:pPr>
              <w:rPr>
                <w:sz w:val="2"/>
                <w:szCs w:val="2"/>
              </w:rPr>
            </w:pPr>
          </w:p>
        </w:tc>
      </w:tr>
      <w:tr w:rsidR="00AE0552">
        <w:trPr>
          <w:trHeight w:val="108"/>
        </w:trPr>
        <w:tc>
          <w:tcPr>
            <w:tcW w:w="1311" w:type="dxa"/>
            <w:gridSpan w:val="2"/>
            <w:vMerge/>
            <w:tcBorders>
              <w:top w:val="nil"/>
              <w:bottom w:val="single" w:sz="4" w:space="0" w:color="000000"/>
            </w:tcBorders>
          </w:tcPr>
          <w:p w:rsidR="00AE0552" w:rsidRDefault="00AE0552">
            <w:pPr>
              <w:rPr>
                <w:sz w:val="2"/>
                <w:szCs w:val="2"/>
              </w:rPr>
            </w:pPr>
          </w:p>
        </w:tc>
        <w:tc>
          <w:tcPr>
            <w:tcW w:w="1699" w:type="dxa"/>
            <w:gridSpan w:val="2"/>
            <w:vMerge/>
            <w:tcBorders>
              <w:top w:val="nil"/>
              <w:bottom w:val="single" w:sz="4" w:space="0" w:color="000000"/>
            </w:tcBorders>
          </w:tcPr>
          <w:p w:rsidR="00AE0552" w:rsidRDefault="00AE0552">
            <w:pPr>
              <w:rPr>
                <w:sz w:val="2"/>
                <w:szCs w:val="2"/>
              </w:rPr>
            </w:pPr>
          </w:p>
        </w:tc>
        <w:tc>
          <w:tcPr>
            <w:tcW w:w="1028" w:type="dxa"/>
            <w:vMerge/>
            <w:tcBorders>
              <w:top w:val="nil"/>
              <w:bottom w:val="single" w:sz="4" w:space="0" w:color="000000"/>
            </w:tcBorders>
          </w:tcPr>
          <w:p w:rsidR="00AE0552" w:rsidRDefault="00AE0552">
            <w:pPr>
              <w:rPr>
                <w:sz w:val="2"/>
                <w:szCs w:val="2"/>
              </w:rPr>
            </w:pPr>
          </w:p>
        </w:tc>
        <w:tc>
          <w:tcPr>
            <w:tcW w:w="760" w:type="dxa"/>
            <w:tcBorders>
              <w:top w:val="nil"/>
              <w:bottom w:val="single" w:sz="4" w:space="0" w:color="000000"/>
              <w:right w:val="nil"/>
            </w:tcBorders>
          </w:tcPr>
          <w:p w:rsidR="00AE0552" w:rsidRDefault="00DC3ACA">
            <w:pPr>
              <w:pStyle w:val="TableParagraph"/>
              <w:spacing w:line="88" w:lineRule="exact"/>
              <w:ind w:left="65"/>
              <w:rPr>
                <w:rFonts w:ascii="Trebuchet MS"/>
                <w:sz w:val="9"/>
              </w:rPr>
            </w:pPr>
            <w:r>
              <w:rPr>
                <w:rFonts w:ascii="Trebuchet MS"/>
                <w:sz w:val="9"/>
              </w:rPr>
              <w:t>BLAUZDYS</w:t>
            </w:r>
          </w:p>
        </w:tc>
        <w:tc>
          <w:tcPr>
            <w:tcW w:w="943" w:type="dxa"/>
            <w:tcBorders>
              <w:top w:val="nil"/>
              <w:left w:val="nil"/>
              <w:bottom w:val="single" w:sz="4" w:space="0" w:color="000000"/>
            </w:tcBorders>
          </w:tcPr>
          <w:p w:rsidR="00AE0552" w:rsidRDefault="00DC3ACA">
            <w:pPr>
              <w:pStyle w:val="TableParagraph"/>
              <w:spacing w:before="10"/>
              <w:ind w:left="130"/>
              <w:rPr>
                <w:rFonts w:ascii="Trebuchet MS"/>
                <w:sz w:val="5"/>
              </w:rPr>
            </w:pPr>
            <w:r>
              <w:rPr>
                <w:rFonts w:ascii="Trebuchet MS"/>
                <w:sz w:val="5"/>
              </w:rPr>
              <w:t>Date: 2025.10.08 10:14:51 +03'00'</w:t>
            </w:r>
          </w:p>
        </w:tc>
        <w:tc>
          <w:tcPr>
            <w:tcW w:w="4879" w:type="dxa"/>
            <w:gridSpan w:val="7"/>
            <w:vMerge/>
            <w:tcBorders>
              <w:top w:val="nil"/>
            </w:tcBorders>
          </w:tcPr>
          <w:p w:rsidR="00AE0552" w:rsidRDefault="00AE0552">
            <w:pPr>
              <w:rPr>
                <w:sz w:val="2"/>
                <w:szCs w:val="2"/>
              </w:rPr>
            </w:pPr>
          </w:p>
        </w:tc>
      </w:tr>
      <w:tr w:rsidR="00AE0552">
        <w:trPr>
          <w:trHeight w:val="247"/>
        </w:trPr>
        <w:tc>
          <w:tcPr>
            <w:tcW w:w="1311"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699"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028" w:type="dxa"/>
            <w:tcBorders>
              <w:top w:val="single" w:sz="4" w:space="0" w:color="000000"/>
              <w:bottom w:val="single" w:sz="4" w:space="0" w:color="000000"/>
            </w:tcBorders>
          </w:tcPr>
          <w:p w:rsidR="00AE0552" w:rsidRDefault="00AE0552">
            <w:pPr>
              <w:pStyle w:val="TableParagraph"/>
              <w:rPr>
                <w:rFonts w:ascii="Times New Roman"/>
                <w:sz w:val="18"/>
              </w:rPr>
            </w:pPr>
          </w:p>
        </w:tc>
        <w:tc>
          <w:tcPr>
            <w:tcW w:w="1703"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4879" w:type="dxa"/>
            <w:gridSpan w:val="7"/>
            <w:vMerge/>
            <w:tcBorders>
              <w:top w:val="nil"/>
            </w:tcBorders>
          </w:tcPr>
          <w:p w:rsidR="00AE0552" w:rsidRDefault="00AE0552">
            <w:pPr>
              <w:rPr>
                <w:sz w:val="2"/>
                <w:szCs w:val="2"/>
              </w:rPr>
            </w:pPr>
          </w:p>
        </w:tc>
      </w:tr>
      <w:tr w:rsidR="00AE0552">
        <w:trPr>
          <w:trHeight w:val="266"/>
        </w:trPr>
        <w:tc>
          <w:tcPr>
            <w:tcW w:w="1311"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699"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028" w:type="dxa"/>
            <w:tcBorders>
              <w:top w:val="single" w:sz="4" w:space="0" w:color="000000"/>
              <w:bottom w:val="single" w:sz="4" w:space="0" w:color="000000"/>
            </w:tcBorders>
          </w:tcPr>
          <w:p w:rsidR="00AE0552" w:rsidRDefault="00AE0552">
            <w:pPr>
              <w:pStyle w:val="TableParagraph"/>
              <w:rPr>
                <w:rFonts w:ascii="Times New Roman"/>
                <w:sz w:val="18"/>
              </w:rPr>
            </w:pPr>
          </w:p>
        </w:tc>
        <w:tc>
          <w:tcPr>
            <w:tcW w:w="1703"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4879" w:type="dxa"/>
            <w:gridSpan w:val="7"/>
            <w:vMerge/>
            <w:tcBorders>
              <w:top w:val="nil"/>
            </w:tcBorders>
          </w:tcPr>
          <w:p w:rsidR="00AE0552" w:rsidRDefault="00AE0552">
            <w:pPr>
              <w:rPr>
                <w:sz w:val="2"/>
                <w:szCs w:val="2"/>
              </w:rPr>
            </w:pPr>
          </w:p>
        </w:tc>
      </w:tr>
      <w:tr w:rsidR="00AE0552">
        <w:trPr>
          <w:trHeight w:val="283"/>
        </w:trPr>
        <w:tc>
          <w:tcPr>
            <w:tcW w:w="1311"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699"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028" w:type="dxa"/>
            <w:tcBorders>
              <w:top w:val="single" w:sz="4" w:space="0" w:color="000000"/>
              <w:bottom w:val="single" w:sz="4" w:space="0" w:color="000000"/>
            </w:tcBorders>
          </w:tcPr>
          <w:p w:rsidR="00AE0552" w:rsidRDefault="00AE0552">
            <w:pPr>
              <w:pStyle w:val="TableParagraph"/>
              <w:rPr>
                <w:rFonts w:ascii="Times New Roman"/>
                <w:sz w:val="18"/>
              </w:rPr>
            </w:pPr>
          </w:p>
        </w:tc>
        <w:tc>
          <w:tcPr>
            <w:tcW w:w="1703" w:type="dxa"/>
            <w:gridSpan w:val="2"/>
            <w:tcBorders>
              <w:top w:val="single" w:sz="4" w:space="0" w:color="000000"/>
              <w:bottom w:val="single" w:sz="4" w:space="0" w:color="000000"/>
            </w:tcBorders>
          </w:tcPr>
          <w:p w:rsidR="00AE0552" w:rsidRDefault="00AE0552">
            <w:pPr>
              <w:pStyle w:val="TableParagraph"/>
              <w:rPr>
                <w:rFonts w:ascii="Times New Roman"/>
                <w:sz w:val="18"/>
              </w:rPr>
            </w:pPr>
          </w:p>
        </w:tc>
        <w:tc>
          <w:tcPr>
            <w:tcW w:w="1213" w:type="dxa"/>
          </w:tcPr>
          <w:p w:rsidR="00AE0552" w:rsidRDefault="00AE0552">
            <w:pPr>
              <w:pStyle w:val="TableParagraph"/>
              <w:rPr>
                <w:rFonts w:ascii="Times New Roman"/>
                <w:sz w:val="18"/>
              </w:rPr>
            </w:pPr>
          </w:p>
        </w:tc>
        <w:tc>
          <w:tcPr>
            <w:tcW w:w="803" w:type="dxa"/>
          </w:tcPr>
          <w:p w:rsidR="00AE0552" w:rsidRDefault="00DC3ACA">
            <w:pPr>
              <w:pStyle w:val="TableParagraph"/>
              <w:spacing w:before="27"/>
              <w:ind w:left="104"/>
              <w:rPr>
                <w:sz w:val="20"/>
              </w:rPr>
            </w:pPr>
            <w:r>
              <w:rPr>
                <w:sz w:val="20"/>
              </w:rPr>
              <w:t>Page</w:t>
            </w:r>
          </w:p>
        </w:tc>
        <w:tc>
          <w:tcPr>
            <w:tcW w:w="373" w:type="dxa"/>
          </w:tcPr>
          <w:p w:rsidR="00AE0552" w:rsidRDefault="00DC3ACA">
            <w:pPr>
              <w:pStyle w:val="TableParagraph"/>
              <w:spacing w:before="27"/>
              <w:ind w:left="125"/>
              <w:rPr>
                <w:sz w:val="20"/>
              </w:rPr>
            </w:pPr>
            <w:r>
              <w:rPr>
                <w:sz w:val="20"/>
              </w:rPr>
              <w:t>1</w:t>
            </w:r>
          </w:p>
        </w:tc>
        <w:tc>
          <w:tcPr>
            <w:tcW w:w="849" w:type="dxa"/>
          </w:tcPr>
          <w:p w:rsidR="00AE0552" w:rsidRDefault="00DC3ACA">
            <w:pPr>
              <w:pStyle w:val="TableParagraph"/>
              <w:spacing w:before="27"/>
              <w:ind w:left="102"/>
              <w:rPr>
                <w:sz w:val="20"/>
              </w:rPr>
            </w:pPr>
            <w:r>
              <w:rPr>
                <w:sz w:val="20"/>
              </w:rPr>
              <w:t>Pages</w:t>
            </w:r>
          </w:p>
        </w:tc>
        <w:tc>
          <w:tcPr>
            <w:tcW w:w="452" w:type="dxa"/>
          </w:tcPr>
          <w:p w:rsidR="00AE0552" w:rsidRDefault="00DC3ACA">
            <w:pPr>
              <w:pStyle w:val="TableParagraph"/>
              <w:spacing w:before="27"/>
              <w:ind w:left="163"/>
              <w:rPr>
                <w:sz w:val="20"/>
              </w:rPr>
            </w:pPr>
            <w:r>
              <w:rPr>
                <w:sz w:val="20"/>
              </w:rPr>
              <w:t>3</w:t>
            </w:r>
          </w:p>
        </w:tc>
        <w:tc>
          <w:tcPr>
            <w:tcW w:w="850" w:type="dxa"/>
          </w:tcPr>
          <w:p w:rsidR="00AE0552" w:rsidRDefault="00DC3ACA">
            <w:pPr>
              <w:pStyle w:val="TableParagraph"/>
              <w:spacing w:before="27"/>
              <w:ind w:left="102"/>
              <w:rPr>
                <w:sz w:val="20"/>
              </w:rPr>
            </w:pPr>
            <w:r>
              <w:rPr>
                <w:sz w:val="20"/>
              </w:rPr>
              <w:t>Rev.</w:t>
            </w:r>
          </w:p>
        </w:tc>
        <w:tc>
          <w:tcPr>
            <w:tcW w:w="339" w:type="dxa"/>
          </w:tcPr>
          <w:p w:rsidR="00AE0552" w:rsidRDefault="00DC3ACA">
            <w:pPr>
              <w:pStyle w:val="TableParagraph"/>
              <w:spacing w:before="27"/>
              <w:ind w:left="102"/>
              <w:rPr>
                <w:sz w:val="20"/>
              </w:rPr>
            </w:pPr>
            <w:r>
              <w:rPr>
                <w:sz w:val="20"/>
              </w:rPr>
              <w:t>0</w:t>
            </w:r>
          </w:p>
        </w:tc>
      </w:tr>
      <w:tr w:rsidR="00AE0552">
        <w:trPr>
          <w:trHeight w:val="276"/>
        </w:trPr>
        <w:tc>
          <w:tcPr>
            <w:tcW w:w="1311" w:type="dxa"/>
            <w:gridSpan w:val="2"/>
            <w:tcBorders>
              <w:top w:val="single" w:sz="4" w:space="0" w:color="000000"/>
              <w:bottom w:val="single" w:sz="24" w:space="0" w:color="000000"/>
            </w:tcBorders>
          </w:tcPr>
          <w:p w:rsidR="00AE0552" w:rsidRDefault="00AE0552">
            <w:pPr>
              <w:pStyle w:val="TableParagraph"/>
              <w:rPr>
                <w:rFonts w:ascii="Times New Roman"/>
                <w:sz w:val="18"/>
              </w:rPr>
            </w:pPr>
          </w:p>
        </w:tc>
        <w:tc>
          <w:tcPr>
            <w:tcW w:w="1699" w:type="dxa"/>
            <w:gridSpan w:val="2"/>
            <w:tcBorders>
              <w:top w:val="single" w:sz="4" w:space="0" w:color="000000"/>
              <w:bottom w:val="single" w:sz="24" w:space="0" w:color="000000"/>
            </w:tcBorders>
          </w:tcPr>
          <w:p w:rsidR="00AE0552" w:rsidRDefault="00AE0552">
            <w:pPr>
              <w:pStyle w:val="TableParagraph"/>
              <w:rPr>
                <w:rFonts w:ascii="Times New Roman"/>
                <w:sz w:val="18"/>
              </w:rPr>
            </w:pPr>
          </w:p>
        </w:tc>
        <w:tc>
          <w:tcPr>
            <w:tcW w:w="1028" w:type="dxa"/>
            <w:tcBorders>
              <w:top w:val="single" w:sz="4" w:space="0" w:color="000000"/>
              <w:bottom w:val="single" w:sz="24" w:space="0" w:color="000000"/>
            </w:tcBorders>
          </w:tcPr>
          <w:p w:rsidR="00AE0552" w:rsidRDefault="00AE0552">
            <w:pPr>
              <w:pStyle w:val="TableParagraph"/>
              <w:rPr>
                <w:rFonts w:ascii="Times New Roman"/>
                <w:sz w:val="18"/>
              </w:rPr>
            </w:pPr>
          </w:p>
        </w:tc>
        <w:tc>
          <w:tcPr>
            <w:tcW w:w="1703" w:type="dxa"/>
            <w:gridSpan w:val="2"/>
            <w:tcBorders>
              <w:top w:val="single" w:sz="4" w:space="0" w:color="000000"/>
              <w:bottom w:val="single" w:sz="24" w:space="0" w:color="000000"/>
            </w:tcBorders>
          </w:tcPr>
          <w:p w:rsidR="00AE0552" w:rsidRDefault="00AE0552">
            <w:pPr>
              <w:pStyle w:val="TableParagraph"/>
              <w:rPr>
                <w:rFonts w:ascii="Times New Roman"/>
                <w:sz w:val="18"/>
              </w:rPr>
            </w:pPr>
          </w:p>
        </w:tc>
        <w:tc>
          <w:tcPr>
            <w:tcW w:w="4879" w:type="dxa"/>
            <w:gridSpan w:val="7"/>
            <w:tcBorders>
              <w:bottom w:val="single" w:sz="24" w:space="0" w:color="000000"/>
            </w:tcBorders>
          </w:tcPr>
          <w:p w:rsidR="00AE0552" w:rsidRDefault="00DC3ACA">
            <w:pPr>
              <w:pStyle w:val="TableParagraph"/>
              <w:spacing w:before="27" w:line="229" w:lineRule="exact"/>
              <w:ind w:left="639" w:right="613"/>
              <w:jc w:val="center"/>
              <w:rPr>
                <w:sz w:val="20"/>
              </w:rPr>
            </w:pPr>
            <w:r>
              <w:rPr>
                <w:sz w:val="20"/>
              </w:rPr>
              <w:t>OLPP225-T-AR</w:t>
            </w:r>
          </w:p>
        </w:tc>
      </w:tr>
    </w:tbl>
    <w:p w:rsidR="00AE0552" w:rsidRDefault="00AE0552">
      <w:pPr>
        <w:pStyle w:val="TableParagraph"/>
        <w:spacing w:line="229" w:lineRule="exact"/>
        <w:jc w:val="center"/>
        <w:rPr>
          <w:sz w:val="20"/>
        </w:rPr>
        <w:sectPr w:rsidR="00AE0552">
          <w:type w:val="continuous"/>
          <w:pgSz w:w="11910" w:h="16840"/>
          <w:pgMar w:top="620" w:right="141" w:bottom="0" w:left="850" w:header="567" w:footer="567" w:gutter="0"/>
          <w:cols w:space="1296"/>
        </w:sectPr>
      </w:pPr>
    </w:p>
    <w:tbl>
      <w:tblPr>
        <w:tblW w:w="0" w:type="auto"/>
        <w:tblInd w:w="17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938"/>
        <w:gridCol w:w="1119"/>
        <w:gridCol w:w="576"/>
        <w:gridCol w:w="802"/>
        <w:gridCol w:w="372"/>
        <w:gridCol w:w="848"/>
        <w:gridCol w:w="454"/>
        <w:gridCol w:w="848"/>
        <w:gridCol w:w="658"/>
      </w:tblGrid>
      <w:tr w:rsidR="00AE0552">
        <w:trPr>
          <w:trHeight w:val="15158"/>
        </w:trPr>
        <w:tc>
          <w:tcPr>
            <w:tcW w:w="10615" w:type="dxa"/>
            <w:gridSpan w:val="9"/>
          </w:tcPr>
          <w:p w:rsidR="00AE0552" w:rsidRDefault="00DC3ACA">
            <w:pPr>
              <w:pStyle w:val="TableParagraph"/>
              <w:spacing w:before="18"/>
              <w:ind w:left="690" w:right="366"/>
              <w:rPr>
                <w:sz w:val="20"/>
              </w:rPr>
            </w:pPr>
            <w:r>
              <w:rPr>
                <w:sz w:val="20"/>
              </w:rPr>
              <w:t xml:space="preserve">As part of the process discipline, a HAZOP risk assessment shall be conducted prior to detailed piping and equipment design, simultaneously covering both flares. </w:t>
            </w:r>
          </w:p>
          <w:p w:rsidR="00AE0552" w:rsidRDefault="00DC3ACA">
            <w:pPr>
              <w:pStyle w:val="TableParagraph"/>
              <w:spacing w:before="227"/>
              <w:ind w:left="592"/>
              <w:rPr>
                <w:b/>
                <w:sz w:val="24"/>
              </w:rPr>
            </w:pPr>
            <w:r>
              <w:rPr>
                <w:b/>
                <w:sz w:val="24"/>
              </w:rPr>
              <w:t>3.2. Process control and automation</w:t>
            </w:r>
          </w:p>
          <w:p w:rsidR="00AE0552" w:rsidRDefault="00DC3ACA" w:rsidP="00DC2E5B">
            <w:pPr>
              <w:pStyle w:val="TableParagraph"/>
              <w:numPr>
                <w:ilvl w:val="0"/>
                <w:numId w:val="1"/>
              </w:numPr>
              <w:tabs>
                <w:tab w:val="left" w:pos="1018"/>
              </w:tabs>
              <w:spacing w:before="187"/>
              <w:jc w:val="both"/>
              <w:rPr>
                <w:sz w:val="20"/>
              </w:rPr>
            </w:pPr>
            <w:r>
              <w:rPr>
                <w:sz w:val="20"/>
              </w:rPr>
              <w:t>According to P&amp;ID FU-26-D2:</w:t>
            </w:r>
          </w:p>
          <w:p w:rsidR="00AE0552" w:rsidRDefault="00DC3ACA">
            <w:pPr>
              <w:pStyle w:val="TableParagraph"/>
              <w:ind w:left="1257"/>
              <w:jc w:val="both"/>
              <w:rPr>
                <w:sz w:val="20"/>
              </w:rPr>
            </w:pPr>
            <w:r>
              <w:rPr>
                <w:sz w:val="20"/>
              </w:rPr>
              <w:t>The number of instruments for the D-2 flare will be determined after the proposal is received.</w:t>
            </w:r>
          </w:p>
          <w:p w:rsidR="00AE0552" w:rsidRDefault="00DC3ACA" w:rsidP="00DC3ACA">
            <w:pPr>
              <w:pStyle w:val="TableParagraph"/>
              <w:spacing w:before="1"/>
              <w:ind w:left="1257" w:right="406"/>
              <w:jc w:val="both"/>
              <w:rPr>
                <w:sz w:val="20"/>
              </w:rPr>
            </w:pPr>
            <w:r>
              <w:rPr>
                <w:sz w:val="20"/>
              </w:rPr>
              <w:t>A visual smokeless control system shall be designed, incorporating a ground-mounted sensor that monitors the main flare flame and, upon detecting smoke, automati</w:t>
            </w:r>
            <w:r>
              <w:rPr>
                <w:sz w:val="20"/>
              </w:rPr>
              <w:t>cally actuates and modulates the steam supply valve.</w:t>
            </w:r>
          </w:p>
          <w:p w:rsidR="00AE0552" w:rsidRDefault="00DC3ACA" w:rsidP="00DC3ACA">
            <w:pPr>
              <w:pStyle w:val="TableParagraph"/>
              <w:ind w:left="1257" w:right="403"/>
              <w:jc w:val="both"/>
              <w:rPr>
                <w:sz w:val="20"/>
              </w:rPr>
            </w:pPr>
            <w:r>
              <w:rPr>
                <w:sz w:val="20"/>
              </w:rPr>
              <w:t>The maximum steam flow for smokeless combustio</w:t>
            </w:r>
            <w:bookmarkStart w:id="0" w:name="_GoBack"/>
            <w:bookmarkEnd w:id="0"/>
            <w:r>
              <w:rPr>
                <w:sz w:val="20"/>
              </w:rPr>
              <w:t>n that OL can supply through the existing pipeline, up to the branch leading to flares D-2 and D-4, is 10 t/h.  Refer to Attachment 2.</w:t>
            </w:r>
          </w:p>
          <w:p w:rsidR="00AE0552" w:rsidRDefault="00DC3ACA" w:rsidP="00DC3ACA">
            <w:pPr>
              <w:pStyle w:val="TableParagraph"/>
              <w:ind w:left="1257" w:right="459"/>
              <w:jc w:val="both"/>
              <w:rPr>
                <w:sz w:val="20"/>
              </w:rPr>
            </w:pPr>
            <w:r>
              <w:rPr>
                <w:sz w:val="20"/>
              </w:rPr>
              <w:t>During the detailed de</w:t>
            </w:r>
            <w:r>
              <w:rPr>
                <w:sz w:val="20"/>
              </w:rPr>
              <w:t>sign stage, it will be assessed whether the steam supply system for smokeless combustion requires modifications, including redesign of the existing flow meters, valves, and the piping from the header to the flare to accommodate a larger nominal diameter (D</w:t>
            </w:r>
            <w:r>
              <w:rPr>
                <w:sz w:val="20"/>
              </w:rPr>
              <w:t>N).</w:t>
            </w:r>
          </w:p>
          <w:p w:rsidR="00AE0552" w:rsidRDefault="00DC3ACA" w:rsidP="00DC3ACA">
            <w:pPr>
              <w:pStyle w:val="TableParagraph"/>
              <w:numPr>
                <w:ilvl w:val="0"/>
                <w:numId w:val="1"/>
              </w:numPr>
              <w:tabs>
                <w:tab w:val="left" w:pos="1018"/>
              </w:tabs>
              <w:spacing w:line="228" w:lineRule="exact"/>
              <w:jc w:val="both"/>
              <w:rPr>
                <w:sz w:val="20"/>
              </w:rPr>
            </w:pPr>
            <w:r>
              <w:rPr>
                <w:sz w:val="20"/>
              </w:rPr>
              <w:t>According to P&amp;ID FU-28-D4:</w:t>
            </w:r>
          </w:p>
          <w:p w:rsidR="00AE0552" w:rsidRDefault="00DC3ACA" w:rsidP="00DC3ACA">
            <w:pPr>
              <w:pStyle w:val="TableParagraph"/>
              <w:ind w:left="1257"/>
              <w:jc w:val="both"/>
              <w:rPr>
                <w:sz w:val="20"/>
              </w:rPr>
            </w:pPr>
            <w:r>
              <w:rPr>
                <w:sz w:val="20"/>
              </w:rPr>
              <w:t>The number of instruments for the D-4 flare will be determined after the proposal is received.</w:t>
            </w:r>
          </w:p>
          <w:p w:rsidR="00AE0552" w:rsidRDefault="00DC3ACA" w:rsidP="00DC3ACA">
            <w:pPr>
              <w:pStyle w:val="TableParagraph"/>
              <w:ind w:left="1257" w:right="405"/>
              <w:jc w:val="both"/>
              <w:rPr>
                <w:sz w:val="20"/>
              </w:rPr>
            </w:pPr>
            <w:r>
              <w:rPr>
                <w:sz w:val="20"/>
              </w:rPr>
              <w:t>A visual smokeless control system shall be designed, incorporating a ground-mounted sensor that monitors the main flare flame and</w:t>
            </w:r>
            <w:r>
              <w:rPr>
                <w:sz w:val="20"/>
              </w:rPr>
              <w:t>, upon detecting smoke, automatically actuates and modulates the steam supply valve.</w:t>
            </w:r>
          </w:p>
          <w:p w:rsidR="00AE0552" w:rsidRDefault="00DC3ACA" w:rsidP="00DC3ACA">
            <w:pPr>
              <w:pStyle w:val="TableParagraph"/>
              <w:spacing w:before="1"/>
              <w:ind w:left="1257" w:right="407"/>
              <w:jc w:val="both"/>
              <w:rPr>
                <w:sz w:val="20"/>
              </w:rPr>
            </w:pPr>
            <w:r>
              <w:rPr>
                <w:sz w:val="20"/>
              </w:rPr>
              <w:t xml:space="preserve">The maximum steam flow for smokeless combustion that OL can supply through the existing pipeline, up to the branch leading to flares D-2 and D-4, is 10 t/h. </w:t>
            </w:r>
            <w:r>
              <w:rPr>
                <w:sz w:val="20"/>
              </w:rPr>
              <w:t>Refer to Attachment 2.</w:t>
            </w:r>
          </w:p>
          <w:p w:rsidR="00AE0552" w:rsidRDefault="00DC3ACA">
            <w:pPr>
              <w:pStyle w:val="TableParagraph"/>
              <w:ind w:left="1257" w:right="400"/>
              <w:jc w:val="both"/>
              <w:rPr>
                <w:sz w:val="20"/>
              </w:rPr>
            </w:pPr>
            <w:r>
              <w:rPr>
                <w:sz w:val="20"/>
              </w:rPr>
              <w:t>During the detailed design stage, it will be assessed whether the steam supply system for smokeless combustion requires modifications, including redesign of the existing flow meters, valves, and the piping from the header to the flar</w:t>
            </w:r>
            <w:r>
              <w:rPr>
                <w:sz w:val="20"/>
              </w:rPr>
              <w:t>e to accommodate a larger nominal diameter (DN).</w:t>
            </w:r>
          </w:p>
          <w:p w:rsidR="00AE0552" w:rsidRDefault="00AE0552">
            <w:pPr>
              <w:pStyle w:val="TableParagraph"/>
              <w:spacing w:before="137"/>
              <w:rPr>
                <w:rFonts w:ascii="Times New Roman"/>
                <w:sz w:val="20"/>
              </w:rPr>
            </w:pPr>
          </w:p>
          <w:p w:rsidR="00AE0552" w:rsidRDefault="00DC3ACA">
            <w:pPr>
              <w:pStyle w:val="TableParagraph"/>
              <w:ind w:left="2994"/>
              <w:rPr>
                <w:rFonts w:ascii="Times New Roman"/>
                <w:sz w:val="20"/>
              </w:rPr>
            </w:pPr>
            <w:r>
              <w:rPr>
                <w:rFonts w:ascii="Times New Roman"/>
                <w:noProof/>
                <w:sz w:val="20"/>
                <w:lang w:val="lt-LT" w:eastAsia="lt-LT"/>
              </w:rPr>
              <w:drawing>
                <wp:inline distT="0" distB="0" distL="0" distR="0">
                  <wp:extent cx="2889974" cy="2084831"/>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889974" cy="2084831"/>
                          </a:xfrm>
                          <a:prstGeom prst="rect">
                            <a:avLst/>
                          </a:prstGeom>
                        </pic:spPr>
                      </pic:pic>
                    </a:graphicData>
                  </a:graphic>
                </wp:inline>
              </w:drawing>
            </w:r>
          </w:p>
          <w:p w:rsidR="00AE0552" w:rsidRDefault="00AE0552">
            <w:pPr>
              <w:pStyle w:val="TableParagraph"/>
              <w:spacing w:before="142"/>
              <w:rPr>
                <w:rFonts w:ascii="Times New Roman"/>
                <w:sz w:val="20"/>
              </w:rPr>
            </w:pPr>
          </w:p>
          <w:p w:rsidR="00AE0552" w:rsidRDefault="00DC3ACA" w:rsidP="00DC3ACA">
            <w:pPr>
              <w:pStyle w:val="TableParagraph"/>
              <w:ind w:left="690" w:right="366" w:hanging="27"/>
              <w:jc w:val="both"/>
              <w:rPr>
                <w:sz w:val="20"/>
              </w:rPr>
            </w:pPr>
            <w:r>
              <w:rPr>
                <w:sz w:val="20"/>
              </w:rPr>
              <w:t>An HMI for monitoring the required heat tracing systems must be designed and incorporated into the DCS screens in the Flare Section Control Room. During design execution, once the final number of new ins</w:t>
            </w:r>
            <w:r>
              <w:rPr>
                <w:sz w:val="20"/>
              </w:rPr>
              <w:t>trument positions has been confirmed, the corresponding tag numbers shall be obtained from the Owner. All datasheets, design documents, and other deliverables for the new instruments shall be prepared using the tag numbers provided by the Owner.</w:t>
            </w:r>
          </w:p>
          <w:p w:rsidR="00AE0552" w:rsidRDefault="00DC3ACA">
            <w:pPr>
              <w:pStyle w:val="TableParagraph"/>
              <w:spacing w:before="185"/>
              <w:ind w:left="592"/>
              <w:rPr>
                <w:b/>
                <w:sz w:val="24"/>
              </w:rPr>
            </w:pPr>
            <w:r>
              <w:rPr>
                <w:b/>
                <w:sz w:val="24"/>
              </w:rPr>
              <w:t>3.3. Proce</w:t>
            </w:r>
            <w:r>
              <w:rPr>
                <w:b/>
                <w:sz w:val="24"/>
              </w:rPr>
              <w:t>ss piping</w:t>
            </w:r>
          </w:p>
          <w:p w:rsidR="00AE0552" w:rsidRDefault="00DC3ACA">
            <w:pPr>
              <w:pStyle w:val="TableParagraph"/>
              <w:spacing w:before="184"/>
              <w:ind w:left="664" w:right="398"/>
              <w:jc w:val="both"/>
              <w:rPr>
                <w:sz w:val="20"/>
              </w:rPr>
            </w:pPr>
            <w:r>
              <w:rPr>
                <w:sz w:val="20"/>
              </w:rPr>
              <w:t>The required piping shall be designed in accordance with P&amp;IDs FU-19, FU-26, and FU-28. Piping indicated in P&amp;IDs FU-19 and FU-26 shall be dismantled. This discipline shall be developed in sufficient detail to enable the procurement and installat</w:t>
            </w:r>
            <w:r>
              <w:rPr>
                <w:sz w:val="20"/>
              </w:rPr>
              <w:t>ion of the required equipment and piping components. Process flow diagrams show the required tie-ins to existing piping and valve installation points.</w:t>
            </w:r>
          </w:p>
          <w:p w:rsidR="00AE0552" w:rsidRDefault="00DC3ACA">
            <w:pPr>
              <w:pStyle w:val="TableParagraph"/>
              <w:spacing w:before="230"/>
              <w:ind w:left="664" w:right="404"/>
              <w:jc w:val="both"/>
              <w:rPr>
                <w:sz w:val="20"/>
              </w:rPr>
            </w:pPr>
            <w:r>
              <w:rPr>
                <w:sz w:val="20"/>
              </w:rPr>
              <w:t>The detailed design phase shall include verification of whether the existing piping between the header an</w:t>
            </w:r>
            <w:r>
              <w:rPr>
                <w:sz w:val="20"/>
              </w:rPr>
              <w:t>d flares D-1 and D-4 (steam supply for smokeless combustion) and the associated measuring and control instruments require replacement.</w:t>
            </w:r>
          </w:p>
          <w:p w:rsidR="00AE0552" w:rsidRDefault="00AE0552">
            <w:pPr>
              <w:pStyle w:val="TableParagraph"/>
              <w:spacing w:before="1"/>
              <w:rPr>
                <w:rFonts w:ascii="Times New Roman"/>
                <w:sz w:val="20"/>
              </w:rPr>
            </w:pPr>
          </w:p>
          <w:p w:rsidR="00AE0552" w:rsidRDefault="00DC3ACA">
            <w:pPr>
              <w:pStyle w:val="TableParagraph"/>
              <w:ind w:left="664" w:right="403"/>
              <w:jc w:val="both"/>
              <w:rPr>
                <w:sz w:val="20"/>
              </w:rPr>
            </w:pPr>
            <w:r>
              <w:rPr>
                <w:sz w:val="20"/>
              </w:rPr>
              <w:t>Earthing and potential equalization connection points shall be designed for all newly designed or modified pipelines and their sections.</w:t>
            </w:r>
          </w:p>
          <w:p w:rsidR="00F55BAE" w:rsidRDefault="00F55BAE">
            <w:pPr>
              <w:pStyle w:val="TableParagraph"/>
              <w:spacing w:before="182"/>
              <w:ind w:left="592"/>
              <w:rPr>
                <w:b/>
                <w:sz w:val="24"/>
              </w:rPr>
            </w:pPr>
          </w:p>
          <w:p w:rsidR="00F55BAE" w:rsidRDefault="00F55BAE">
            <w:pPr>
              <w:pStyle w:val="TableParagraph"/>
              <w:spacing w:before="182"/>
              <w:ind w:left="592"/>
              <w:rPr>
                <w:b/>
                <w:sz w:val="24"/>
              </w:rPr>
            </w:pPr>
          </w:p>
          <w:p w:rsidR="00F55BAE" w:rsidRDefault="00F55BAE">
            <w:pPr>
              <w:pStyle w:val="TableParagraph"/>
              <w:spacing w:before="182"/>
              <w:ind w:left="592"/>
              <w:rPr>
                <w:b/>
                <w:sz w:val="24"/>
              </w:rPr>
            </w:pPr>
          </w:p>
          <w:p w:rsidR="00AE0552" w:rsidRDefault="00DC3ACA" w:rsidP="00F55BAE">
            <w:pPr>
              <w:pStyle w:val="TableParagraph"/>
              <w:spacing w:before="182"/>
              <w:ind w:left="539"/>
              <w:rPr>
                <w:b/>
                <w:sz w:val="24"/>
              </w:rPr>
            </w:pPr>
            <w:r>
              <w:rPr>
                <w:b/>
                <w:sz w:val="24"/>
              </w:rPr>
              <w:t>3.4. Mechanical discipline</w:t>
            </w:r>
          </w:p>
          <w:p w:rsidR="00AE0552" w:rsidRDefault="00DC3ACA" w:rsidP="00DC2E5B">
            <w:pPr>
              <w:pStyle w:val="TableParagraph"/>
              <w:numPr>
                <w:ilvl w:val="0"/>
                <w:numId w:val="1"/>
              </w:numPr>
              <w:tabs>
                <w:tab w:val="left" w:pos="976"/>
              </w:tabs>
              <w:spacing w:before="188" w:line="237" w:lineRule="auto"/>
              <w:ind w:right="1369"/>
              <w:rPr>
                <w:sz w:val="20"/>
              </w:rPr>
            </w:pPr>
            <w:r>
              <w:rPr>
                <w:sz w:val="20"/>
              </w:rPr>
              <w:t>A new flare of greater capacity and height, complete with the required fittings and access p</w:t>
            </w:r>
            <w:r>
              <w:rPr>
                <w:sz w:val="20"/>
              </w:rPr>
              <w:t>latform supports, shall be designed to replace the existing flare D-2. (Refer to P&amp;ID FU-26-D2).</w:t>
            </w:r>
          </w:p>
          <w:p w:rsidR="00AE0552" w:rsidRDefault="00DC3ACA" w:rsidP="00DC2E5B">
            <w:pPr>
              <w:pStyle w:val="TableParagraph"/>
              <w:numPr>
                <w:ilvl w:val="0"/>
                <w:numId w:val="1"/>
              </w:numPr>
              <w:tabs>
                <w:tab w:val="left" w:pos="976"/>
              </w:tabs>
              <w:spacing w:before="1"/>
              <w:ind w:right="404"/>
              <w:rPr>
                <w:sz w:val="20"/>
              </w:rPr>
            </w:pPr>
            <w:r>
              <w:rPr>
                <w:sz w:val="20"/>
              </w:rPr>
              <w:t xml:space="preserve">A new flare of greater capacity and height, complete with the required fittings and access platform </w:t>
            </w:r>
            <w:r>
              <w:rPr>
                <w:sz w:val="20"/>
              </w:rPr>
              <w:lastRenderedPageBreak/>
              <w:t>supports, shall be designed to replace the existing flare D</w:t>
            </w:r>
            <w:r>
              <w:rPr>
                <w:sz w:val="20"/>
              </w:rPr>
              <w:t>-4.  (Refer to P&amp;</w:t>
            </w:r>
            <w:proofErr w:type="gramStart"/>
            <w:r>
              <w:rPr>
                <w:sz w:val="20"/>
              </w:rPr>
              <w:t>ID  FU</w:t>
            </w:r>
            <w:proofErr w:type="gramEnd"/>
            <w:r>
              <w:rPr>
                <w:sz w:val="20"/>
              </w:rPr>
              <w:t>-28-D4).</w:t>
            </w:r>
          </w:p>
          <w:p w:rsidR="00DC2E5B" w:rsidRDefault="00DC3ACA" w:rsidP="00DC2E5B">
            <w:pPr>
              <w:pStyle w:val="TableParagraph"/>
              <w:spacing w:before="18"/>
              <w:ind w:left="976"/>
              <w:rPr>
                <w:sz w:val="20"/>
              </w:rPr>
            </w:pPr>
            <w:r>
              <w:rPr>
                <w:sz w:val="20"/>
              </w:rPr>
              <w:t xml:space="preserve">The outlet nozzle diameter of the flare gas stream at hydraulic seal HU-6 shall be increased (see P&amp;ID </w:t>
            </w:r>
            <w:r w:rsidR="00DC2E5B">
              <w:rPr>
                <w:sz w:val="20"/>
              </w:rPr>
              <w:t>FU-19).</w:t>
            </w:r>
          </w:p>
          <w:p w:rsidR="00DC2E5B" w:rsidRDefault="00DC2E5B" w:rsidP="00DC2E5B">
            <w:pPr>
              <w:pStyle w:val="TableParagraph"/>
              <w:ind w:left="690" w:right="405" w:hanging="12"/>
              <w:jc w:val="both"/>
              <w:rPr>
                <w:sz w:val="20"/>
              </w:rPr>
            </w:pPr>
            <w:r>
              <w:rPr>
                <w:sz w:val="20"/>
              </w:rPr>
              <w:t>For the procurement of new flares, preliminary data sheets for flares D-2 and D-4 have been prepared by the Owner as initial input. The Designer shall prepare the final data sheets for both flare procurement and detailed design. All technical proposals shall be reviewed and approved by the Owner.</w:t>
            </w:r>
          </w:p>
          <w:p w:rsidR="00DC2E5B" w:rsidRDefault="00DC2E5B" w:rsidP="00DC2E5B">
            <w:pPr>
              <w:pStyle w:val="TableParagraph"/>
              <w:spacing w:line="229" w:lineRule="exact"/>
              <w:ind w:left="690"/>
              <w:jc w:val="both"/>
              <w:rPr>
                <w:sz w:val="20"/>
              </w:rPr>
            </w:pPr>
            <w:r>
              <w:rPr>
                <w:sz w:val="20"/>
              </w:rPr>
              <w:t>Upon selection of the flare supplier, the Contractor shall obtain flare flame radiation calculations, including</w:t>
            </w:r>
          </w:p>
          <w:p w:rsidR="00DC2E5B" w:rsidRDefault="00DC2E5B" w:rsidP="00DC2E5B">
            <w:pPr>
              <w:pStyle w:val="TableParagraph"/>
              <w:spacing w:before="1"/>
              <w:ind w:left="690" w:right="406"/>
              <w:jc w:val="both"/>
              <w:rPr>
                <w:sz w:val="20"/>
              </w:rPr>
            </w:pPr>
            <w:proofErr w:type="gramStart"/>
            <w:r>
              <w:rPr>
                <w:sz w:val="20"/>
              </w:rPr>
              <w:t>the</w:t>
            </w:r>
            <w:proofErr w:type="gramEnd"/>
            <w:r>
              <w:rPr>
                <w:sz w:val="20"/>
              </w:rPr>
              <w:t xml:space="preserve"> diameter of the sterile (safety) zone. Based on these calculations, the Contractor, in coordination with the Owner, shall finalize the installation locations of the new flares.</w:t>
            </w:r>
          </w:p>
          <w:p w:rsidR="00DC2E5B" w:rsidRDefault="00DC2E5B" w:rsidP="00DC2E5B">
            <w:pPr>
              <w:pStyle w:val="TableParagraph"/>
              <w:spacing w:before="1"/>
              <w:ind w:left="690" w:right="402"/>
              <w:jc w:val="both"/>
              <w:rPr>
                <w:sz w:val="20"/>
              </w:rPr>
            </w:pPr>
            <w:r>
              <w:rPr>
                <w:sz w:val="20"/>
              </w:rPr>
              <w:t>The Owner’s initial proposal is to install the new flares as close as possible to the existing ones; however, this may be revised following final flare selection.</w:t>
            </w:r>
          </w:p>
          <w:p w:rsidR="00DC2E5B" w:rsidRDefault="00DC2E5B" w:rsidP="00DC2E5B">
            <w:pPr>
              <w:pStyle w:val="TableParagraph"/>
              <w:ind w:left="690" w:right="403"/>
              <w:jc w:val="both"/>
              <w:rPr>
                <w:sz w:val="20"/>
              </w:rPr>
            </w:pPr>
            <w:r>
              <w:rPr>
                <w:sz w:val="20"/>
              </w:rPr>
              <w:t>Prior to commissioning of the new flares D-2 and D-4, the existing flares and all redundant accessories shall be dismantled. Unnecessary foundations shall be demolished to the extent required to allow their surfaces to be covered with surrounding soil or paving.</w:t>
            </w:r>
          </w:p>
          <w:p w:rsidR="00DC2E5B" w:rsidRDefault="00DC2E5B" w:rsidP="00DC2E5B">
            <w:pPr>
              <w:pStyle w:val="TableParagraph"/>
              <w:numPr>
                <w:ilvl w:val="1"/>
                <w:numId w:val="6"/>
              </w:numPr>
              <w:tabs>
                <w:tab w:val="left" w:pos="1023"/>
              </w:tabs>
              <w:spacing w:before="183"/>
              <w:rPr>
                <w:b/>
                <w:sz w:val="24"/>
              </w:rPr>
            </w:pPr>
            <w:r>
              <w:rPr>
                <w:b/>
                <w:sz w:val="24"/>
              </w:rPr>
              <w:t>Electrical discipline</w:t>
            </w:r>
          </w:p>
          <w:p w:rsidR="00DC2E5B" w:rsidRDefault="00DC2E5B" w:rsidP="00DC2E5B">
            <w:pPr>
              <w:pStyle w:val="TableParagraph"/>
              <w:spacing w:before="229"/>
              <w:ind w:left="664" w:right="366"/>
              <w:rPr>
                <w:sz w:val="20"/>
              </w:rPr>
            </w:pPr>
            <w:r>
              <w:rPr>
                <w:sz w:val="20"/>
              </w:rPr>
              <w:t>New earthing and potential equalization points, as defined by other disciplines, shall be connected to the existing earthing loop; if no loop is present, a new one shall be designed.</w:t>
            </w:r>
          </w:p>
          <w:p w:rsidR="00DC2E5B" w:rsidRDefault="00DC2E5B" w:rsidP="00DC2E5B">
            <w:pPr>
              <w:pStyle w:val="TableParagraph"/>
              <w:spacing w:before="1"/>
              <w:ind w:left="664" w:right="366"/>
              <w:jc w:val="both"/>
              <w:rPr>
                <w:sz w:val="20"/>
              </w:rPr>
            </w:pPr>
            <w:r>
              <w:rPr>
                <w:sz w:val="20"/>
              </w:rPr>
              <w:t>Lighting shall be designed for the work areas of the new flares D-2 and D-4, covering all associated equipment, including ignition panels, access routes, and control valves.</w:t>
            </w:r>
          </w:p>
          <w:p w:rsidR="00DC2E5B" w:rsidRDefault="00DC2E5B" w:rsidP="00DC2E5B">
            <w:pPr>
              <w:pStyle w:val="TableParagraph"/>
              <w:spacing w:before="1"/>
              <w:ind w:left="664" w:right="366"/>
              <w:jc w:val="both"/>
              <w:rPr>
                <w:sz w:val="20"/>
              </w:rPr>
            </w:pPr>
            <w:r>
              <w:rPr>
                <w:sz w:val="20"/>
              </w:rPr>
              <w:t>These design solutions cover reconstruction of existing work areas, not the installation of new ones.  For the ignition systems of the replacement flares D-2 and D-4, an additional electrical power supply shall be provided from an uninterruptible power source (UPS).</w:t>
            </w:r>
          </w:p>
          <w:p w:rsidR="00DC2E5B" w:rsidRDefault="00DC2E5B" w:rsidP="00DC2E5B">
            <w:pPr>
              <w:pStyle w:val="TableParagraph"/>
              <w:ind w:left="664" w:right="366"/>
              <w:jc w:val="both"/>
              <w:rPr>
                <w:sz w:val="20"/>
              </w:rPr>
            </w:pPr>
            <w:r>
              <w:rPr>
                <w:sz w:val="20"/>
              </w:rPr>
              <w:t>Electric heat tracing shall be designed as required, with operating status indications integrated into the DCS screen in the Flare Section Control Room.</w:t>
            </w:r>
          </w:p>
          <w:p w:rsidR="00DC2E5B" w:rsidRDefault="00DC2E5B" w:rsidP="00DC2E5B">
            <w:pPr>
              <w:pStyle w:val="TableParagraph"/>
              <w:numPr>
                <w:ilvl w:val="1"/>
                <w:numId w:val="6"/>
              </w:numPr>
              <w:tabs>
                <w:tab w:val="left" w:pos="1023"/>
              </w:tabs>
              <w:spacing w:before="181"/>
              <w:rPr>
                <w:b/>
                <w:sz w:val="24"/>
              </w:rPr>
            </w:pPr>
            <w:r>
              <w:rPr>
                <w:b/>
                <w:sz w:val="24"/>
              </w:rPr>
              <w:t>Civil discipline</w:t>
            </w:r>
          </w:p>
          <w:p w:rsidR="00DC2E5B" w:rsidRDefault="00DC2E5B" w:rsidP="00DC2E5B">
            <w:pPr>
              <w:pStyle w:val="TableParagraph"/>
              <w:spacing w:before="186"/>
              <w:ind w:left="690" w:right="366"/>
              <w:jc w:val="both"/>
              <w:rPr>
                <w:sz w:val="20"/>
              </w:rPr>
            </w:pPr>
            <w:r>
              <w:rPr>
                <w:sz w:val="20"/>
              </w:rPr>
              <w:t>Support structures for new pipelines and cable routes, as well as equipment access platforms, stairs, and walkways, shall be designed in accordance with the design solutions provided by other engineering disciplines.</w:t>
            </w:r>
          </w:p>
          <w:p w:rsidR="00DC2E5B" w:rsidRDefault="00DC2E5B" w:rsidP="00DC2E5B">
            <w:pPr>
              <w:pStyle w:val="TableParagraph"/>
              <w:spacing w:before="1"/>
              <w:ind w:left="690" w:right="366"/>
              <w:jc w:val="both"/>
              <w:rPr>
                <w:sz w:val="20"/>
              </w:rPr>
            </w:pPr>
            <w:r>
              <w:rPr>
                <w:sz w:val="20"/>
              </w:rPr>
              <w:t>The design shall include connections of new and modified structures to the earthing loop and potential equalization points.</w:t>
            </w:r>
          </w:p>
          <w:p w:rsidR="00DC2E5B" w:rsidRDefault="00DC2E5B" w:rsidP="00DC2E5B">
            <w:pPr>
              <w:pStyle w:val="TableParagraph"/>
              <w:numPr>
                <w:ilvl w:val="1"/>
                <w:numId w:val="6"/>
              </w:numPr>
              <w:tabs>
                <w:tab w:val="left" w:pos="915"/>
              </w:tabs>
              <w:spacing w:before="228"/>
              <w:rPr>
                <w:b/>
                <w:sz w:val="24"/>
              </w:rPr>
            </w:pPr>
            <w:r>
              <w:rPr>
                <w:b/>
                <w:sz w:val="24"/>
              </w:rPr>
              <w:t>ATEX</w:t>
            </w:r>
          </w:p>
          <w:p w:rsidR="00DC2E5B" w:rsidRDefault="00DC2E5B" w:rsidP="00DC2E5B">
            <w:pPr>
              <w:pStyle w:val="TableParagraph"/>
              <w:spacing w:before="186"/>
              <w:ind w:left="664" w:right="366"/>
              <w:rPr>
                <w:sz w:val="20"/>
              </w:rPr>
            </w:pPr>
            <w:r>
              <w:rPr>
                <w:sz w:val="20"/>
              </w:rPr>
              <w:t>The existing design proposals may impact the current Ex zones; therefore, Ex zoning must be reviewed and updated where necessary.</w:t>
            </w:r>
          </w:p>
          <w:p w:rsidR="00DC2E5B" w:rsidRDefault="00DC2E5B" w:rsidP="00DC2E5B">
            <w:pPr>
              <w:pStyle w:val="TableParagraph"/>
              <w:numPr>
                <w:ilvl w:val="1"/>
                <w:numId w:val="6"/>
              </w:numPr>
              <w:tabs>
                <w:tab w:val="left" w:pos="915"/>
              </w:tabs>
              <w:spacing w:before="227"/>
              <w:rPr>
                <w:b/>
                <w:sz w:val="24"/>
              </w:rPr>
            </w:pPr>
            <w:r>
              <w:rPr>
                <w:b/>
                <w:sz w:val="24"/>
              </w:rPr>
              <w:t>Environmental protection</w:t>
            </w:r>
          </w:p>
          <w:p w:rsidR="00AE0552" w:rsidRDefault="00DC2E5B" w:rsidP="00DC2E5B">
            <w:pPr>
              <w:pStyle w:val="TableParagraph"/>
              <w:tabs>
                <w:tab w:val="left" w:pos="975"/>
              </w:tabs>
              <w:spacing w:before="1"/>
              <w:ind w:left="400"/>
              <w:rPr>
                <w:sz w:val="20"/>
              </w:rPr>
            </w:pPr>
            <w:r>
              <w:rPr>
                <w:sz w:val="20"/>
              </w:rPr>
              <w:t xml:space="preserve">     </w:t>
            </w:r>
            <w:r>
              <w:rPr>
                <w:sz w:val="20"/>
              </w:rPr>
              <w:t>Calculations shall be conducted for flares D-2 and D-4 to assess changes in pollutant dispersion zones.</w:t>
            </w:r>
            <w:r>
              <w:rPr>
                <w:sz w:val="20"/>
              </w:rPr>
              <w:t xml:space="preserve"> </w:t>
            </w:r>
          </w:p>
        </w:tc>
      </w:tr>
      <w:tr w:rsidR="00AE0552">
        <w:trPr>
          <w:trHeight w:val="276"/>
        </w:trPr>
        <w:tc>
          <w:tcPr>
            <w:tcW w:w="4938" w:type="dxa"/>
            <w:vMerge w:val="restart"/>
            <w:tcBorders>
              <w:left w:val="single" w:sz="36" w:space="0" w:color="000000"/>
              <w:bottom w:val="single" w:sz="24" w:space="0" w:color="000000"/>
            </w:tcBorders>
          </w:tcPr>
          <w:p w:rsidR="00AE0552" w:rsidRDefault="00AE0552">
            <w:pPr>
              <w:pStyle w:val="TableParagraph"/>
              <w:rPr>
                <w:rFonts w:ascii="Times New Roman"/>
                <w:sz w:val="20"/>
              </w:rPr>
            </w:pPr>
          </w:p>
        </w:tc>
        <w:tc>
          <w:tcPr>
            <w:tcW w:w="1119" w:type="dxa"/>
          </w:tcPr>
          <w:p w:rsidR="00AE0552" w:rsidRDefault="00DC3ACA">
            <w:pPr>
              <w:pStyle w:val="TableParagraph"/>
              <w:spacing w:line="229" w:lineRule="exact"/>
              <w:ind w:left="128"/>
              <w:rPr>
                <w:sz w:val="20"/>
              </w:rPr>
            </w:pPr>
            <w:r>
              <w:rPr>
                <w:sz w:val="20"/>
              </w:rPr>
              <w:t>Scale</w:t>
            </w:r>
          </w:p>
        </w:tc>
        <w:tc>
          <w:tcPr>
            <w:tcW w:w="576" w:type="dxa"/>
          </w:tcPr>
          <w:p w:rsidR="00AE0552" w:rsidRDefault="00AE0552">
            <w:pPr>
              <w:pStyle w:val="TableParagraph"/>
              <w:rPr>
                <w:rFonts w:ascii="Times New Roman"/>
                <w:sz w:val="20"/>
              </w:rPr>
            </w:pPr>
          </w:p>
        </w:tc>
        <w:tc>
          <w:tcPr>
            <w:tcW w:w="802" w:type="dxa"/>
          </w:tcPr>
          <w:p w:rsidR="00AE0552" w:rsidRDefault="00DC3ACA">
            <w:pPr>
              <w:pStyle w:val="TableParagraph"/>
              <w:spacing w:before="27" w:line="229" w:lineRule="exact"/>
              <w:ind w:left="128"/>
              <w:rPr>
                <w:sz w:val="20"/>
              </w:rPr>
            </w:pPr>
            <w:r>
              <w:rPr>
                <w:sz w:val="20"/>
              </w:rPr>
              <w:t>Page</w:t>
            </w:r>
          </w:p>
        </w:tc>
        <w:tc>
          <w:tcPr>
            <w:tcW w:w="372" w:type="dxa"/>
          </w:tcPr>
          <w:p w:rsidR="00AE0552" w:rsidRDefault="00DC3ACA">
            <w:pPr>
              <w:pStyle w:val="TableParagraph"/>
              <w:spacing w:before="27" w:line="229" w:lineRule="exact"/>
              <w:ind w:left="149"/>
              <w:rPr>
                <w:sz w:val="20"/>
              </w:rPr>
            </w:pPr>
            <w:r>
              <w:rPr>
                <w:sz w:val="20"/>
              </w:rPr>
              <w:t>2</w:t>
            </w:r>
          </w:p>
        </w:tc>
        <w:tc>
          <w:tcPr>
            <w:tcW w:w="848" w:type="dxa"/>
          </w:tcPr>
          <w:p w:rsidR="00AE0552" w:rsidRDefault="00DC3ACA">
            <w:pPr>
              <w:pStyle w:val="TableParagraph"/>
              <w:spacing w:before="27" w:line="229" w:lineRule="exact"/>
              <w:ind w:left="127"/>
              <w:rPr>
                <w:sz w:val="20"/>
              </w:rPr>
            </w:pPr>
            <w:r>
              <w:rPr>
                <w:sz w:val="20"/>
              </w:rPr>
              <w:t>Pages</w:t>
            </w:r>
          </w:p>
        </w:tc>
        <w:tc>
          <w:tcPr>
            <w:tcW w:w="454" w:type="dxa"/>
          </w:tcPr>
          <w:p w:rsidR="00AE0552" w:rsidRDefault="00DC3ACA">
            <w:pPr>
              <w:pStyle w:val="TableParagraph"/>
              <w:spacing w:before="27" w:line="229" w:lineRule="exact"/>
              <w:ind w:left="190"/>
              <w:rPr>
                <w:sz w:val="20"/>
              </w:rPr>
            </w:pPr>
            <w:r>
              <w:rPr>
                <w:sz w:val="20"/>
              </w:rPr>
              <w:t>3</w:t>
            </w:r>
          </w:p>
        </w:tc>
        <w:tc>
          <w:tcPr>
            <w:tcW w:w="848" w:type="dxa"/>
          </w:tcPr>
          <w:p w:rsidR="00AE0552" w:rsidRDefault="00DC3ACA">
            <w:pPr>
              <w:pStyle w:val="TableParagraph"/>
              <w:spacing w:before="27" w:line="229" w:lineRule="exact"/>
              <w:ind w:left="127"/>
              <w:rPr>
                <w:sz w:val="20"/>
              </w:rPr>
            </w:pPr>
            <w:r>
              <w:rPr>
                <w:sz w:val="20"/>
              </w:rPr>
              <w:t>Rev.</w:t>
            </w:r>
          </w:p>
        </w:tc>
        <w:tc>
          <w:tcPr>
            <w:tcW w:w="658" w:type="dxa"/>
          </w:tcPr>
          <w:p w:rsidR="00AE0552" w:rsidRDefault="00DC3ACA">
            <w:pPr>
              <w:pStyle w:val="TableParagraph"/>
              <w:spacing w:before="27" w:line="229" w:lineRule="exact"/>
              <w:ind w:left="62"/>
              <w:jc w:val="center"/>
              <w:rPr>
                <w:sz w:val="20"/>
              </w:rPr>
            </w:pPr>
            <w:r>
              <w:rPr>
                <w:sz w:val="20"/>
              </w:rPr>
              <w:t>0</w:t>
            </w:r>
          </w:p>
        </w:tc>
      </w:tr>
      <w:tr w:rsidR="00AE0552">
        <w:trPr>
          <w:trHeight w:val="268"/>
        </w:trPr>
        <w:tc>
          <w:tcPr>
            <w:tcW w:w="4938" w:type="dxa"/>
            <w:vMerge/>
            <w:tcBorders>
              <w:top w:val="nil"/>
              <w:left w:val="single" w:sz="36" w:space="0" w:color="000000"/>
              <w:bottom w:val="single" w:sz="24" w:space="0" w:color="000000"/>
            </w:tcBorders>
          </w:tcPr>
          <w:p w:rsidR="00AE0552" w:rsidRDefault="00AE0552">
            <w:pPr>
              <w:rPr>
                <w:sz w:val="2"/>
                <w:szCs w:val="2"/>
              </w:rPr>
            </w:pPr>
          </w:p>
        </w:tc>
        <w:tc>
          <w:tcPr>
            <w:tcW w:w="5677" w:type="dxa"/>
            <w:gridSpan w:val="8"/>
            <w:tcBorders>
              <w:bottom w:val="single" w:sz="24" w:space="0" w:color="000000"/>
            </w:tcBorders>
          </w:tcPr>
          <w:p w:rsidR="00AE0552" w:rsidRDefault="00DC3ACA">
            <w:pPr>
              <w:pStyle w:val="TableParagraph"/>
              <w:spacing w:before="20" w:line="229" w:lineRule="exact"/>
              <w:ind w:left="60"/>
              <w:jc w:val="center"/>
              <w:rPr>
                <w:sz w:val="20"/>
              </w:rPr>
            </w:pPr>
            <w:r>
              <w:rPr>
                <w:sz w:val="20"/>
              </w:rPr>
              <w:t>OLPP225-T-AR</w:t>
            </w:r>
          </w:p>
        </w:tc>
      </w:tr>
      <w:tr w:rsidR="00AE0552">
        <w:trPr>
          <w:trHeight w:val="15158"/>
        </w:trPr>
        <w:tc>
          <w:tcPr>
            <w:tcW w:w="10615" w:type="dxa"/>
            <w:gridSpan w:val="9"/>
          </w:tcPr>
          <w:p w:rsidR="00AE0552" w:rsidRDefault="00AE0552" w:rsidP="00DC2E5B">
            <w:pPr>
              <w:pStyle w:val="TableParagraph"/>
              <w:spacing w:before="233"/>
              <w:rPr>
                <w:sz w:val="20"/>
              </w:rPr>
            </w:pPr>
          </w:p>
        </w:tc>
      </w:tr>
      <w:tr w:rsidR="00AE0552">
        <w:trPr>
          <w:trHeight w:val="276"/>
        </w:trPr>
        <w:tc>
          <w:tcPr>
            <w:tcW w:w="4938" w:type="dxa"/>
            <w:vMerge w:val="restart"/>
            <w:tcBorders>
              <w:left w:val="single" w:sz="36" w:space="0" w:color="000000"/>
              <w:bottom w:val="single" w:sz="24" w:space="0" w:color="000000"/>
            </w:tcBorders>
          </w:tcPr>
          <w:p w:rsidR="00AE0552" w:rsidRDefault="00AE0552">
            <w:pPr>
              <w:pStyle w:val="TableParagraph"/>
              <w:rPr>
                <w:rFonts w:ascii="Times New Roman"/>
                <w:sz w:val="20"/>
              </w:rPr>
            </w:pPr>
          </w:p>
        </w:tc>
        <w:tc>
          <w:tcPr>
            <w:tcW w:w="1119" w:type="dxa"/>
          </w:tcPr>
          <w:p w:rsidR="00AE0552" w:rsidRDefault="00DC3ACA">
            <w:pPr>
              <w:pStyle w:val="TableParagraph"/>
              <w:spacing w:line="229" w:lineRule="exact"/>
              <w:ind w:left="128"/>
              <w:rPr>
                <w:sz w:val="20"/>
              </w:rPr>
            </w:pPr>
            <w:r>
              <w:rPr>
                <w:sz w:val="20"/>
              </w:rPr>
              <w:t>Scale</w:t>
            </w:r>
          </w:p>
        </w:tc>
        <w:tc>
          <w:tcPr>
            <w:tcW w:w="576" w:type="dxa"/>
          </w:tcPr>
          <w:p w:rsidR="00AE0552" w:rsidRDefault="00AE0552">
            <w:pPr>
              <w:pStyle w:val="TableParagraph"/>
              <w:rPr>
                <w:rFonts w:ascii="Times New Roman"/>
                <w:sz w:val="20"/>
              </w:rPr>
            </w:pPr>
          </w:p>
        </w:tc>
        <w:tc>
          <w:tcPr>
            <w:tcW w:w="802" w:type="dxa"/>
          </w:tcPr>
          <w:p w:rsidR="00AE0552" w:rsidRDefault="00DC3ACA">
            <w:pPr>
              <w:pStyle w:val="TableParagraph"/>
              <w:spacing w:before="27" w:line="229" w:lineRule="exact"/>
              <w:ind w:left="128"/>
              <w:rPr>
                <w:sz w:val="20"/>
              </w:rPr>
            </w:pPr>
            <w:r>
              <w:rPr>
                <w:sz w:val="20"/>
              </w:rPr>
              <w:t>Page</w:t>
            </w:r>
          </w:p>
        </w:tc>
        <w:tc>
          <w:tcPr>
            <w:tcW w:w="372" w:type="dxa"/>
          </w:tcPr>
          <w:p w:rsidR="00AE0552" w:rsidRDefault="00DC3ACA">
            <w:pPr>
              <w:pStyle w:val="TableParagraph"/>
              <w:spacing w:before="27" w:line="229" w:lineRule="exact"/>
              <w:ind w:left="149"/>
              <w:rPr>
                <w:sz w:val="20"/>
              </w:rPr>
            </w:pPr>
            <w:r>
              <w:rPr>
                <w:sz w:val="20"/>
              </w:rPr>
              <w:t>3</w:t>
            </w:r>
          </w:p>
        </w:tc>
        <w:tc>
          <w:tcPr>
            <w:tcW w:w="848" w:type="dxa"/>
          </w:tcPr>
          <w:p w:rsidR="00AE0552" w:rsidRDefault="00DC3ACA">
            <w:pPr>
              <w:pStyle w:val="TableParagraph"/>
              <w:spacing w:before="27" w:line="229" w:lineRule="exact"/>
              <w:ind w:left="127"/>
              <w:rPr>
                <w:sz w:val="20"/>
              </w:rPr>
            </w:pPr>
            <w:r>
              <w:rPr>
                <w:sz w:val="20"/>
              </w:rPr>
              <w:t>Pages</w:t>
            </w:r>
          </w:p>
        </w:tc>
        <w:tc>
          <w:tcPr>
            <w:tcW w:w="454" w:type="dxa"/>
          </w:tcPr>
          <w:p w:rsidR="00AE0552" w:rsidRDefault="00DC3ACA">
            <w:pPr>
              <w:pStyle w:val="TableParagraph"/>
              <w:spacing w:before="27" w:line="229" w:lineRule="exact"/>
              <w:ind w:left="190"/>
              <w:rPr>
                <w:sz w:val="20"/>
              </w:rPr>
            </w:pPr>
            <w:r>
              <w:rPr>
                <w:sz w:val="20"/>
              </w:rPr>
              <w:t>3</w:t>
            </w:r>
          </w:p>
        </w:tc>
        <w:tc>
          <w:tcPr>
            <w:tcW w:w="848" w:type="dxa"/>
          </w:tcPr>
          <w:p w:rsidR="00AE0552" w:rsidRDefault="00DC3ACA">
            <w:pPr>
              <w:pStyle w:val="TableParagraph"/>
              <w:spacing w:before="27" w:line="229" w:lineRule="exact"/>
              <w:ind w:left="127"/>
              <w:rPr>
                <w:sz w:val="20"/>
              </w:rPr>
            </w:pPr>
            <w:r>
              <w:rPr>
                <w:sz w:val="20"/>
              </w:rPr>
              <w:t>Rev.</w:t>
            </w:r>
          </w:p>
        </w:tc>
        <w:tc>
          <w:tcPr>
            <w:tcW w:w="658" w:type="dxa"/>
          </w:tcPr>
          <w:p w:rsidR="00AE0552" w:rsidRDefault="00DC3ACA">
            <w:pPr>
              <w:pStyle w:val="TableParagraph"/>
              <w:spacing w:before="27" w:line="229" w:lineRule="exact"/>
              <w:ind w:left="62"/>
              <w:jc w:val="center"/>
              <w:rPr>
                <w:sz w:val="20"/>
              </w:rPr>
            </w:pPr>
            <w:r>
              <w:rPr>
                <w:sz w:val="20"/>
              </w:rPr>
              <w:t>0</w:t>
            </w:r>
          </w:p>
        </w:tc>
      </w:tr>
      <w:tr w:rsidR="00AE0552">
        <w:trPr>
          <w:trHeight w:val="268"/>
        </w:trPr>
        <w:tc>
          <w:tcPr>
            <w:tcW w:w="4938" w:type="dxa"/>
            <w:vMerge/>
            <w:tcBorders>
              <w:top w:val="nil"/>
              <w:left w:val="single" w:sz="36" w:space="0" w:color="000000"/>
              <w:bottom w:val="single" w:sz="24" w:space="0" w:color="000000"/>
            </w:tcBorders>
          </w:tcPr>
          <w:p w:rsidR="00AE0552" w:rsidRDefault="00AE0552">
            <w:pPr>
              <w:rPr>
                <w:sz w:val="2"/>
                <w:szCs w:val="2"/>
              </w:rPr>
            </w:pPr>
          </w:p>
        </w:tc>
        <w:tc>
          <w:tcPr>
            <w:tcW w:w="5677" w:type="dxa"/>
            <w:gridSpan w:val="8"/>
            <w:tcBorders>
              <w:bottom w:val="single" w:sz="24" w:space="0" w:color="000000"/>
            </w:tcBorders>
          </w:tcPr>
          <w:p w:rsidR="00AE0552" w:rsidRDefault="00DC3ACA">
            <w:pPr>
              <w:pStyle w:val="TableParagraph"/>
              <w:spacing w:before="20" w:line="229" w:lineRule="exact"/>
              <w:ind w:left="60"/>
              <w:jc w:val="center"/>
              <w:rPr>
                <w:sz w:val="20"/>
              </w:rPr>
            </w:pPr>
            <w:r>
              <w:rPr>
                <w:sz w:val="20"/>
              </w:rPr>
              <w:t>OLPP225-T-AR</w:t>
            </w:r>
          </w:p>
        </w:tc>
      </w:tr>
    </w:tbl>
    <w:p w:rsidR="00000000" w:rsidRDefault="00DC3ACA"/>
    <w:sectPr w:rsidR="00000000">
      <w:type w:val="continuous"/>
      <w:pgSz w:w="11910" w:h="16840"/>
      <w:pgMar w:top="620" w:right="141" w:bottom="0" w:left="85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5D6A"/>
    <w:multiLevelType w:val="multilevel"/>
    <w:tmpl w:val="A3989B36"/>
    <w:lvl w:ilvl="0">
      <w:start w:val="1"/>
      <w:numFmt w:val="decimal"/>
      <w:lvlText w:val="%1."/>
      <w:lvlJc w:val="left"/>
      <w:pPr>
        <w:ind w:left="462" w:hanging="361"/>
        <w:jc w:val="left"/>
      </w:pPr>
      <w:rPr>
        <w:rFonts w:ascii="Arial" w:eastAsia="Arial" w:hAnsi="Arial" w:cs="Arial" w:hint="default"/>
        <w:b/>
        <w:bCs/>
        <w:i w:val="0"/>
        <w:iCs w:val="0"/>
        <w:spacing w:val="0"/>
        <w:w w:val="100"/>
        <w:sz w:val="24"/>
        <w:szCs w:val="24"/>
        <w:lang w:val="lt-LT" w:eastAsia="en-US" w:bidi="ar-SA"/>
      </w:rPr>
    </w:lvl>
    <w:lvl w:ilvl="1">
      <w:start w:val="1"/>
      <w:numFmt w:val="decimal"/>
      <w:lvlText w:val="%1.%2."/>
      <w:lvlJc w:val="left"/>
      <w:pPr>
        <w:ind w:left="894" w:hanging="432"/>
        <w:jc w:val="left"/>
      </w:pPr>
      <w:rPr>
        <w:rFonts w:ascii="Arial" w:eastAsia="Arial" w:hAnsi="Arial" w:cs="Arial" w:hint="default"/>
        <w:b/>
        <w:bCs/>
        <w:i w:val="0"/>
        <w:iCs w:val="0"/>
        <w:spacing w:val="0"/>
        <w:w w:val="99"/>
        <w:sz w:val="24"/>
        <w:szCs w:val="24"/>
        <w:lang w:val="lt-LT" w:eastAsia="en-US" w:bidi="ar-SA"/>
      </w:rPr>
    </w:lvl>
    <w:lvl w:ilvl="2">
      <w:numFmt w:val="bullet"/>
      <w:lvlText w:val="•"/>
      <w:lvlJc w:val="left"/>
      <w:pPr>
        <w:ind w:left="1975" w:hanging="432"/>
      </w:pPr>
      <w:rPr>
        <w:rFonts w:hint="default"/>
        <w:lang w:val="lt-LT" w:eastAsia="en-US" w:bidi="ar-SA"/>
      </w:rPr>
    </w:lvl>
    <w:lvl w:ilvl="3">
      <w:numFmt w:val="bullet"/>
      <w:lvlText w:val="•"/>
      <w:lvlJc w:val="left"/>
      <w:pPr>
        <w:ind w:left="3050" w:hanging="432"/>
      </w:pPr>
      <w:rPr>
        <w:rFonts w:hint="default"/>
        <w:lang w:val="lt-LT" w:eastAsia="en-US" w:bidi="ar-SA"/>
      </w:rPr>
    </w:lvl>
    <w:lvl w:ilvl="4">
      <w:numFmt w:val="bullet"/>
      <w:lvlText w:val="•"/>
      <w:lvlJc w:val="left"/>
      <w:pPr>
        <w:ind w:left="4125" w:hanging="432"/>
      </w:pPr>
      <w:rPr>
        <w:rFonts w:hint="default"/>
        <w:lang w:val="lt-LT" w:eastAsia="en-US" w:bidi="ar-SA"/>
      </w:rPr>
    </w:lvl>
    <w:lvl w:ilvl="5">
      <w:numFmt w:val="bullet"/>
      <w:lvlText w:val="•"/>
      <w:lvlJc w:val="left"/>
      <w:pPr>
        <w:ind w:left="5200" w:hanging="432"/>
      </w:pPr>
      <w:rPr>
        <w:rFonts w:hint="default"/>
        <w:lang w:val="lt-LT" w:eastAsia="en-US" w:bidi="ar-SA"/>
      </w:rPr>
    </w:lvl>
    <w:lvl w:ilvl="6">
      <w:numFmt w:val="bullet"/>
      <w:lvlText w:val="•"/>
      <w:lvlJc w:val="left"/>
      <w:pPr>
        <w:ind w:left="6275" w:hanging="432"/>
      </w:pPr>
      <w:rPr>
        <w:rFonts w:hint="default"/>
        <w:lang w:val="lt-LT" w:eastAsia="en-US" w:bidi="ar-SA"/>
      </w:rPr>
    </w:lvl>
    <w:lvl w:ilvl="7">
      <w:numFmt w:val="bullet"/>
      <w:lvlText w:val="•"/>
      <w:lvlJc w:val="left"/>
      <w:pPr>
        <w:ind w:left="7350" w:hanging="432"/>
      </w:pPr>
      <w:rPr>
        <w:rFonts w:hint="default"/>
        <w:lang w:val="lt-LT" w:eastAsia="en-US" w:bidi="ar-SA"/>
      </w:rPr>
    </w:lvl>
    <w:lvl w:ilvl="8">
      <w:numFmt w:val="bullet"/>
      <w:lvlText w:val="•"/>
      <w:lvlJc w:val="left"/>
      <w:pPr>
        <w:ind w:left="8425" w:hanging="432"/>
      </w:pPr>
      <w:rPr>
        <w:rFonts w:hint="default"/>
        <w:lang w:val="lt-LT" w:eastAsia="en-US" w:bidi="ar-SA"/>
      </w:rPr>
    </w:lvl>
  </w:abstractNum>
  <w:abstractNum w:abstractNumId="1" w15:restartNumberingAfterBreak="0">
    <w:nsid w:val="067723B2"/>
    <w:multiLevelType w:val="hybridMultilevel"/>
    <w:tmpl w:val="2D3A6AFC"/>
    <w:lvl w:ilvl="0" w:tplc="BF90AA82">
      <w:numFmt w:val="bullet"/>
      <w:lvlText w:val=""/>
      <w:lvlJc w:val="left"/>
      <w:pPr>
        <w:ind w:left="1019" w:hanging="356"/>
      </w:pPr>
      <w:rPr>
        <w:rFonts w:ascii="Wingdings" w:eastAsia="Wingdings" w:hAnsi="Wingdings" w:cs="Wingdings" w:hint="default"/>
        <w:b w:val="0"/>
        <w:bCs w:val="0"/>
        <w:i w:val="0"/>
        <w:iCs w:val="0"/>
        <w:spacing w:val="0"/>
        <w:w w:val="99"/>
        <w:sz w:val="20"/>
        <w:szCs w:val="20"/>
        <w:lang w:val="lt-LT" w:eastAsia="en-US" w:bidi="ar-SA"/>
      </w:rPr>
    </w:lvl>
    <w:lvl w:ilvl="1" w:tplc="DA9E8112">
      <w:numFmt w:val="bullet"/>
      <w:lvlText w:val="•"/>
      <w:lvlJc w:val="left"/>
      <w:pPr>
        <w:ind w:left="1975" w:hanging="356"/>
      </w:pPr>
      <w:rPr>
        <w:rFonts w:hint="default"/>
        <w:lang w:val="lt-LT" w:eastAsia="en-US" w:bidi="ar-SA"/>
      </w:rPr>
    </w:lvl>
    <w:lvl w:ilvl="2" w:tplc="2076C572">
      <w:numFmt w:val="bullet"/>
      <w:lvlText w:val="•"/>
      <w:lvlJc w:val="left"/>
      <w:pPr>
        <w:ind w:left="2930" w:hanging="356"/>
      </w:pPr>
      <w:rPr>
        <w:rFonts w:hint="default"/>
        <w:lang w:val="lt-LT" w:eastAsia="en-US" w:bidi="ar-SA"/>
      </w:rPr>
    </w:lvl>
    <w:lvl w:ilvl="3" w:tplc="4D0A009C">
      <w:numFmt w:val="bullet"/>
      <w:lvlText w:val="•"/>
      <w:lvlJc w:val="left"/>
      <w:pPr>
        <w:ind w:left="3885" w:hanging="356"/>
      </w:pPr>
      <w:rPr>
        <w:rFonts w:hint="default"/>
        <w:lang w:val="lt-LT" w:eastAsia="en-US" w:bidi="ar-SA"/>
      </w:rPr>
    </w:lvl>
    <w:lvl w:ilvl="4" w:tplc="97926832">
      <w:numFmt w:val="bullet"/>
      <w:lvlText w:val="•"/>
      <w:lvlJc w:val="left"/>
      <w:pPr>
        <w:ind w:left="4840" w:hanging="356"/>
      </w:pPr>
      <w:rPr>
        <w:rFonts w:hint="default"/>
        <w:lang w:val="lt-LT" w:eastAsia="en-US" w:bidi="ar-SA"/>
      </w:rPr>
    </w:lvl>
    <w:lvl w:ilvl="5" w:tplc="E8165844">
      <w:numFmt w:val="bullet"/>
      <w:lvlText w:val="•"/>
      <w:lvlJc w:val="left"/>
      <w:pPr>
        <w:ind w:left="5795" w:hanging="356"/>
      </w:pPr>
      <w:rPr>
        <w:rFonts w:hint="default"/>
        <w:lang w:val="lt-LT" w:eastAsia="en-US" w:bidi="ar-SA"/>
      </w:rPr>
    </w:lvl>
    <w:lvl w:ilvl="6" w:tplc="BB1C90B4">
      <w:numFmt w:val="bullet"/>
      <w:lvlText w:val="•"/>
      <w:lvlJc w:val="left"/>
      <w:pPr>
        <w:ind w:left="6750" w:hanging="356"/>
      </w:pPr>
      <w:rPr>
        <w:rFonts w:hint="default"/>
        <w:lang w:val="lt-LT" w:eastAsia="en-US" w:bidi="ar-SA"/>
      </w:rPr>
    </w:lvl>
    <w:lvl w:ilvl="7" w:tplc="B4221346">
      <w:numFmt w:val="bullet"/>
      <w:lvlText w:val="•"/>
      <w:lvlJc w:val="left"/>
      <w:pPr>
        <w:ind w:left="7705" w:hanging="356"/>
      </w:pPr>
      <w:rPr>
        <w:rFonts w:hint="default"/>
        <w:lang w:val="lt-LT" w:eastAsia="en-US" w:bidi="ar-SA"/>
      </w:rPr>
    </w:lvl>
    <w:lvl w:ilvl="8" w:tplc="BB646D46">
      <w:numFmt w:val="bullet"/>
      <w:lvlText w:val="•"/>
      <w:lvlJc w:val="left"/>
      <w:pPr>
        <w:ind w:left="8660" w:hanging="356"/>
      </w:pPr>
      <w:rPr>
        <w:rFonts w:hint="default"/>
        <w:lang w:val="lt-LT" w:eastAsia="en-US" w:bidi="ar-SA"/>
      </w:rPr>
    </w:lvl>
  </w:abstractNum>
  <w:abstractNum w:abstractNumId="2" w15:restartNumberingAfterBreak="0">
    <w:nsid w:val="2BCA27A9"/>
    <w:multiLevelType w:val="hybridMultilevel"/>
    <w:tmpl w:val="6E66D314"/>
    <w:lvl w:ilvl="0" w:tplc="4D08BB32">
      <w:numFmt w:val="bullet"/>
      <w:lvlText w:val=""/>
      <w:lvlJc w:val="left"/>
      <w:pPr>
        <w:ind w:left="976" w:hanging="286"/>
      </w:pPr>
      <w:rPr>
        <w:rFonts w:ascii="Wingdings" w:eastAsia="Wingdings" w:hAnsi="Wingdings" w:cs="Wingdings" w:hint="default"/>
        <w:b w:val="0"/>
        <w:bCs w:val="0"/>
        <w:i w:val="0"/>
        <w:iCs w:val="0"/>
        <w:spacing w:val="0"/>
        <w:w w:val="99"/>
        <w:sz w:val="20"/>
        <w:szCs w:val="20"/>
        <w:lang w:val="lt-LT" w:eastAsia="en-US" w:bidi="ar-SA"/>
      </w:rPr>
    </w:lvl>
    <w:lvl w:ilvl="1" w:tplc="2214B95E">
      <w:numFmt w:val="bullet"/>
      <w:lvlText w:val="•"/>
      <w:lvlJc w:val="left"/>
      <w:pPr>
        <w:ind w:left="1939" w:hanging="286"/>
      </w:pPr>
      <w:rPr>
        <w:rFonts w:hint="default"/>
        <w:lang w:val="lt-LT" w:eastAsia="en-US" w:bidi="ar-SA"/>
      </w:rPr>
    </w:lvl>
    <w:lvl w:ilvl="2" w:tplc="02ACC9CE">
      <w:numFmt w:val="bullet"/>
      <w:lvlText w:val="•"/>
      <w:lvlJc w:val="left"/>
      <w:pPr>
        <w:ind w:left="2898" w:hanging="286"/>
      </w:pPr>
      <w:rPr>
        <w:rFonts w:hint="default"/>
        <w:lang w:val="lt-LT" w:eastAsia="en-US" w:bidi="ar-SA"/>
      </w:rPr>
    </w:lvl>
    <w:lvl w:ilvl="3" w:tplc="8A7A0A80">
      <w:numFmt w:val="bullet"/>
      <w:lvlText w:val="•"/>
      <w:lvlJc w:val="left"/>
      <w:pPr>
        <w:ind w:left="3857" w:hanging="286"/>
      </w:pPr>
      <w:rPr>
        <w:rFonts w:hint="default"/>
        <w:lang w:val="lt-LT" w:eastAsia="en-US" w:bidi="ar-SA"/>
      </w:rPr>
    </w:lvl>
    <w:lvl w:ilvl="4" w:tplc="14B4A1FE">
      <w:numFmt w:val="bullet"/>
      <w:lvlText w:val="•"/>
      <w:lvlJc w:val="left"/>
      <w:pPr>
        <w:ind w:left="4816" w:hanging="286"/>
      </w:pPr>
      <w:rPr>
        <w:rFonts w:hint="default"/>
        <w:lang w:val="lt-LT" w:eastAsia="en-US" w:bidi="ar-SA"/>
      </w:rPr>
    </w:lvl>
    <w:lvl w:ilvl="5" w:tplc="1B3C0D6E">
      <w:numFmt w:val="bullet"/>
      <w:lvlText w:val="•"/>
      <w:lvlJc w:val="left"/>
      <w:pPr>
        <w:ind w:left="5775" w:hanging="286"/>
      </w:pPr>
      <w:rPr>
        <w:rFonts w:hint="default"/>
        <w:lang w:val="lt-LT" w:eastAsia="en-US" w:bidi="ar-SA"/>
      </w:rPr>
    </w:lvl>
    <w:lvl w:ilvl="6" w:tplc="97C03DB6">
      <w:numFmt w:val="bullet"/>
      <w:lvlText w:val="•"/>
      <w:lvlJc w:val="left"/>
      <w:pPr>
        <w:ind w:left="6734" w:hanging="286"/>
      </w:pPr>
      <w:rPr>
        <w:rFonts w:hint="default"/>
        <w:lang w:val="lt-LT" w:eastAsia="en-US" w:bidi="ar-SA"/>
      </w:rPr>
    </w:lvl>
    <w:lvl w:ilvl="7" w:tplc="FA0AF13E">
      <w:numFmt w:val="bullet"/>
      <w:lvlText w:val="•"/>
      <w:lvlJc w:val="left"/>
      <w:pPr>
        <w:ind w:left="7693" w:hanging="286"/>
      </w:pPr>
      <w:rPr>
        <w:rFonts w:hint="default"/>
        <w:lang w:val="lt-LT" w:eastAsia="en-US" w:bidi="ar-SA"/>
      </w:rPr>
    </w:lvl>
    <w:lvl w:ilvl="8" w:tplc="75D25BAA">
      <w:numFmt w:val="bullet"/>
      <w:lvlText w:val="•"/>
      <w:lvlJc w:val="left"/>
      <w:pPr>
        <w:ind w:left="8652" w:hanging="286"/>
      </w:pPr>
      <w:rPr>
        <w:rFonts w:hint="default"/>
        <w:lang w:val="lt-LT" w:eastAsia="en-US" w:bidi="ar-SA"/>
      </w:rPr>
    </w:lvl>
  </w:abstractNum>
  <w:abstractNum w:abstractNumId="3" w15:restartNumberingAfterBreak="0">
    <w:nsid w:val="47A67732"/>
    <w:multiLevelType w:val="multilevel"/>
    <w:tmpl w:val="DDE8896E"/>
    <w:lvl w:ilvl="0">
      <w:start w:val="3"/>
      <w:numFmt w:val="decimal"/>
      <w:lvlText w:val="%1"/>
      <w:lvlJc w:val="left"/>
      <w:pPr>
        <w:ind w:left="1024" w:hanging="432"/>
        <w:jc w:val="left"/>
      </w:pPr>
      <w:rPr>
        <w:rFonts w:hint="default"/>
        <w:lang w:val="lt-LT" w:eastAsia="en-US" w:bidi="ar-SA"/>
      </w:rPr>
    </w:lvl>
    <w:lvl w:ilvl="1">
      <w:start w:val="5"/>
      <w:numFmt w:val="decimal"/>
      <w:lvlText w:val="%1.%2."/>
      <w:lvlJc w:val="left"/>
      <w:pPr>
        <w:ind w:left="1024" w:hanging="432"/>
        <w:jc w:val="right"/>
      </w:pPr>
      <w:rPr>
        <w:rFonts w:ascii="Arial" w:eastAsia="Arial" w:hAnsi="Arial" w:cs="Arial" w:hint="default"/>
        <w:b/>
        <w:bCs/>
        <w:i w:val="0"/>
        <w:iCs w:val="0"/>
        <w:spacing w:val="0"/>
        <w:w w:val="99"/>
        <w:sz w:val="24"/>
        <w:szCs w:val="24"/>
        <w:lang w:val="lt-LT" w:eastAsia="en-US" w:bidi="ar-SA"/>
      </w:rPr>
    </w:lvl>
    <w:lvl w:ilvl="2">
      <w:numFmt w:val="bullet"/>
      <w:lvlText w:val="•"/>
      <w:lvlJc w:val="left"/>
      <w:pPr>
        <w:ind w:left="2930" w:hanging="432"/>
      </w:pPr>
      <w:rPr>
        <w:rFonts w:hint="default"/>
        <w:lang w:val="lt-LT" w:eastAsia="en-US" w:bidi="ar-SA"/>
      </w:rPr>
    </w:lvl>
    <w:lvl w:ilvl="3">
      <w:numFmt w:val="bullet"/>
      <w:lvlText w:val="•"/>
      <w:lvlJc w:val="left"/>
      <w:pPr>
        <w:ind w:left="3885" w:hanging="432"/>
      </w:pPr>
      <w:rPr>
        <w:rFonts w:hint="default"/>
        <w:lang w:val="lt-LT" w:eastAsia="en-US" w:bidi="ar-SA"/>
      </w:rPr>
    </w:lvl>
    <w:lvl w:ilvl="4">
      <w:numFmt w:val="bullet"/>
      <w:lvlText w:val="•"/>
      <w:lvlJc w:val="left"/>
      <w:pPr>
        <w:ind w:left="4840" w:hanging="432"/>
      </w:pPr>
      <w:rPr>
        <w:rFonts w:hint="default"/>
        <w:lang w:val="lt-LT" w:eastAsia="en-US" w:bidi="ar-SA"/>
      </w:rPr>
    </w:lvl>
    <w:lvl w:ilvl="5">
      <w:numFmt w:val="bullet"/>
      <w:lvlText w:val="•"/>
      <w:lvlJc w:val="left"/>
      <w:pPr>
        <w:ind w:left="5795" w:hanging="432"/>
      </w:pPr>
      <w:rPr>
        <w:rFonts w:hint="default"/>
        <w:lang w:val="lt-LT" w:eastAsia="en-US" w:bidi="ar-SA"/>
      </w:rPr>
    </w:lvl>
    <w:lvl w:ilvl="6">
      <w:numFmt w:val="bullet"/>
      <w:lvlText w:val="•"/>
      <w:lvlJc w:val="left"/>
      <w:pPr>
        <w:ind w:left="6750" w:hanging="432"/>
      </w:pPr>
      <w:rPr>
        <w:rFonts w:hint="default"/>
        <w:lang w:val="lt-LT" w:eastAsia="en-US" w:bidi="ar-SA"/>
      </w:rPr>
    </w:lvl>
    <w:lvl w:ilvl="7">
      <w:numFmt w:val="bullet"/>
      <w:lvlText w:val="•"/>
      <w:lvlJc w:val="left"/>
      <w:pPr>
        <w:ind w:left="7705" w:hanging="432"/>
      </w:pPr>
      <w:rPr>
        <w:rFonts w:hint="default"/>
        <w:lang w:val="lt-LT" w:eastAsia="en-US" w:bidi="ar-SA"/>
      </w:rPr>
    </w:lvl>
    <w:lvl w:ilvl="8">
      <w:numFmt w:val="bullet"/>
      <w:lvlText w:val="•"/>
      <w:lvlJc w:val="left"/>
      <w:pPr>
        <w:ind w:left="8660" w:hanging="432"/>
      </w:pPr>
      <w:rPr>
        <w:rFonts w:hint="default"/>
        <w:lang w:val="lt-LT" w:eastAsia="en-US" w:bidi="ar-SA"/>
      </w:rPr>
    </w:lvl>
  </w:abstractNum>
  <w:abstractNum w:abstractNumId="4" w15:restartNumberingAfterBreak="0">
    <w:nsid w:val="583375B2"/>
    <w:multiLevelType w:val="multilevel"/>
    <w:tmpl w:val="22B28510"/>
    <w:lvl w:ilvl="0">
      <w:start w:val="3"/>
      <w:numFmt w:val="decimal"/>
      <w:lvlText w:val="%1."/>
      <w:lvlJc w:val="left"/>
      <w:pPr>
        <w:ind w:left="400" w:hanging="400"/>
      </w:pPr>
      <w:rPr>
        <w:rFonts w:hint="default"/>
      </w:rPr>
    </w:lvl>
    <w:lvl w:ilvl="1">
      <w:start w:val="5"/>
      <w:numFmt w:val="decimal"/>
      <w:lvlText w:val="%1.%2."/>
      <w:lvlJc w:val="left"/>
      <w:pPr>
        <w:ind w:left="1390" w:hanging="720"/>
      </w:pPr>
      <w:rPr>
        <w:rFonts w:hint="default"/>
      </w:rPr>
    </w:lvl>
    <w:lvl w:ilvl="2">
      <w:start w:val="1"/>
      <w:numFmt w:val="decimal"/>
      <w:lvlText w:val="%1.%2.%3."/>
      <w:lvlJc w:val="left"/>
      <w:pPr>
        <w:ind w:left="2060" w:hanging="720"/>
      </w:pPr>
      <w:rPr>
        <w:rFonts w:hint="default"/>
      </w:rPr>
    </w:lvl>
    <w:lvl w:ilvl="3">
      <w:start w:val="1"/>
      <w:numFmt w:val="decimal"/>
      <w:lvlText w:val="%1.%2.%3.%4."/>
      <w:lvlJc w:val="left"/>
      <w:pPr>
        <w:ind w:left="3090" w:hanging="1080"/>
      </w:pPr>
      <w:rPr>
        <w:rFonts w:hint="default"/>
      </w:rPr>
    </w:lvl>
    <w:lvl w:ilvl="4">
      <w:start w:val="1"/>
      <w:numFmt w:val="decimal"/>
      <w:lvlText w:val="%1.%2.%3.%4.%5."/>
      <w:lvlJc w:val="left"/>
      <w:pPr>
        <w:ind w:left="3760" w:hanging="1080"/>
      </w:pPr>
      <w:rPr>
        <w:rFonts w:hint="default"/>
      </w:rPr>
    </w:lvl>
    <w:lvl w:ilvl="5">
      <w:start w:val="1"/>
      <w:numFmt w:val="decimal"/>
      <w:lvlText w:val="%1.%2.%3.%4.%5.%6."/>
      <w:lvlJc w:val="left"/>
      <w:pPr>
        <w:ind w:left="4790" w:hanging="1440"/>
      </w:pPr>
      <w:rPr>
        <w:rFonts w:hint="default"/>
      </w:rPr>
    </w:lvl>
    <w:lvl w:ilvl="6">
      <w:start w:val="1"/>
      <w:numFmt w:val="decimal"/>
      <w:lvlText w:val="%1.%2.%3.%4.%5.%6.%7."/>
      <w:lvlJc w:val="left"/>
      <w:pPr>
        <w:ind w:left="5460" w:hanging="1440"/>
      </w:pPr>
      <w:rPr>
        <w:rFonts w:hint="default"/>
      </w:rPr>
    </w:lvl>
    <w:lvl w:ilvl="7">
      <w:start w:val="1"/>
      <w:numFmt w:val="decimal"/>
      <w:lvlText w:val="%1.%2.%3.%4.%5.%6.%7.%8."/>
      <w:lvlJc w:val="left"/>
      <w:pPr>
        <w:ind w:left="6490" w:hanging="1800"/>
      </w:pPr>
      <w:rPr>
        <w:rFonts w:hint="default"/>
      </w:rPr>
    </w:lvl>
    <w:lvl w:ilvl="8">
      <w:start w:val="1"/>
      <w:numFmt w:val="decimal"/>
      <w:lvlText w:val="%1.%2.%3.%4.%5.%6.%7.%8.%9."/>
      <w:lvlJc w:val="left"/>
      <w:pPr>
        <w:ind w:left="7520" w:hanging="2160"/>
      </w:pPr>
      <w:rPr>
        <w:rFonts w:hint="default"/>
      </w:rPr>
    </w:lvl>
  </w:abstractNum>
  <w:abstractNum w:abstractNumId="5" w15:restartNumberingAfterBreak="0">
    <w:nsid w:val="7B862678"/>
    <w:multiLevelType w:val="hybridMultilevel"/>
    <w:tmpl w:val="057497B4"/>
    <w:lvl w:ilvl="0" w:tplc="7804B68E">
      <w:numFmt w:val="bullet"/>
      <w:lvlText w:val=""/>
      <w:lvlJc w:val="left"/>
      <w:pPr>
        <w:ind w:left="1019" w:hanging="356"/>
      </w:pPr>
      <w:rPr>
        <w:rFonts w:ascii="Wingdings" w:eastAsia="Wingdings" w:hAnsi="Wingdings" w:cs="Wingdings" w:hint="default"/>
        <w:b w:val="0"/>
        <w:bCs w:val="0"/>
        <w:i w:val="0"/>
        <w:iCs w:val="0"/>
        <w:spacing w:val="0"/>
        <w:w w:val="99"/>
        <w:sz w:val="20"/>
        <w:szCs w:val="20"/>
        <w:lang w:val="lt-LT" w:eastAsia="en-US" w:bidi="ar-SA"/>
      </w:rPr>
    </w:lvl>
    <w:lvl w:ilvl="1" w:tplc="1DE4F6E8">
      <w:numFmt w:val="bullet"/>
      <w:lvlText w:val="•"/>
      <w:lvlJc w:val="left"/>
      <w:pPr>
        <w:ind w:left="1975" w:hanging="356"/>
      </w:pPr>
      <w:rPr>
        <w:rFonts w:hint="default"/>
        <w:lang w:val="lt-LT" w:eastAsia="en-US" w:bidi="ar-SA"/>
      </w:rPr>
    </w:lvl>
    <w:lvl w:ilvl="2" w:tplc="B8E23DD0">
      <w:numFmt w:val="bullet"/>
      <w:lvlText w:val="•"/>
      <w:lvlJc w:val="left"/>
      <w:pPr>
        <w:ind w:left="2930" w:hanging="356"/>
      </w:pPr>
      <w:rPr>
        <w:rFonts w:hint="default"/>
        <w:lang w:val="lt-LT" w:eastAsia="en-US" w:bidi="ar-SA"/>
      </w:rPr>
    </w:lvl>
    <w:lvl w:ilvl="3" w:tplc="A9FE0470">
      <w:numFmt w:val="bullet"/>
      <w:lvlText w:val="•"/>
      <w:lvlJc w:val="left"/>
      <w:pPr>
        <w:ind w:left="3885" w:hanging="356"/>
      </w:pPr>
      <w:rPr>
        <w:rFonts w:hint="default"/>
        <w:lang w:val="lt-LT" w:eastAsia="en-US" w:bidi="ar-SA"/>
      </w:rPr>
    </w:lvl>
    <w:lvl w:ilvl="4" w:tplc="BEF8CA1C">
      <w:numFmt w:val="bullet"/>
      <w:lvlText w:val="•"/>
      <w:lvlJc w:val="left"/>
      <w:pPr>
        <w:ind w:left="4840" w:hanging="356"/>
      </w:pPr>
      <w:rPr>
        <w:rFonts w:hint="default"/>
        <w:lang w:val="lt-LT" w:eastAsia="en-US" w:bidi="ar-SA"/>
      </w:rPr>
    </w:lvl>
    <w:lvl w:ilvl="5" w:tplc="41F00456">
      <w:numFmt w:val="bullet"/>
      <w:lvlText w:val="•"/>
      <w:lvlJc w:val="left"/>
      <w:pPr>
        <w:ind w:left="5795" w:hanging="356"/>
      </w:pPr>
      <w:rPr>
        <w:rFonts w:hint="default"/>
        <w:lang w:val="lt-LT" w:eastAsia="en-US" w:bidi="ar-SA"/>
      </w:rPr>
    </w:lvl>
    <w:lvl w:ilvl="6" w:tplc="D90AE22C">
      <w:numFmt w:val="bullet"/>
      <w:lvlText w:val="•"/>
      <w:lvlJc w:val="left"/>
      <w:pPr>
        <w:ind w:left="6750" w:hanging="356"/>
      </w:pPr>
      <w:rPr>
        <w:rFonts w:hint="default"/>
        <w:lang w:val="lt-LT" w:eastAsia="en-US" w:bidi="ar-SA"/>
      </w:rPr>
    </w:lvl>
    <w:lvl w:ilvl="7" w:tplc="330E13B6">
      <w:numFmt w:val="bullet"/>
      <w:lvlText w:val="•"/>
      <w:lvlJc w:val="left"/>
      <w:pPr>
        <w:ind w:left="7705" w:hanging="356"/>
      </w:pPr>
      <w:rPr>
        <w:rFonts w:hint="default"/>
        <w:lang w:val="lt-LT" w:eastAsia="en-US" w:bidi="ar-SA"/>
      </w:rPr>
    </w:lvl>
    <w:lvl w:ilvl="8" w:tplc="7C6244D4">
      <w:numFmt w:val="bullet"/>
      <w:lvlText w:val="•"/>
      <w:lvlJc w:val="left"/>
      <w:pPr>
        <w:ind w:left="8660" w:hanging="356"/>
      </w:pPr>
      <w:rPr>
        <w:rFonts w:hint="default"/>
        <w:lang w:val="lt-LT" w:eastAsia="en-US" w:bidi="ar-SA"/>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AE0552"/>
    <w:rsid w:val="00AE0552"/>
    <w:rsid w:val="00DC2E5B"/>
    <w:rsid w:val="00DC3ACA"/>
    <w:rsid w:val="00F55B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8E1D"/>
  <w15:docId w15:val="{942877DA-4F0E-444B-8FD7-063AA82B1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6580</Words>
  <Characters>3751</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AIŠKINAMASIS RAŠTAS</vt:lpstr>
    </vt:vector>
  </TitlesOfParts>
  <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arvydasv</dc:creator>
  <cp:lastModifiedBy>Vaida Latakienė</cp:lastModifiedBy>
  <cp:revision>4</cp:revision>
  <dcterms:created xsi:type="dcterms:W3CDTF">2025-10-10T08:58:00Z</dcterms:created>
  <dcterms:modified xsi:type="dcterms:W3CDTF">2025-10-13T09:38:00Z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Creator">
    <vt:lpwstr>Microsoft® Word 2016</vt:lpwstr>
  </property>
  <property fmtid="{D5CDD505-2E9C-101B-9397-08002B2CF9AE}" pid="4" name="LastSaved">
    <vt:filetime>2025-10-10T00:00:00Z</vt:filetime>
  </property>
  <property fmtid="{D5CDD505-2E9C-101B-9397-08002B2CF9AE}" pid="5" name="Producer">
    <vt:lpwstr>Microsoft® Word 2016</vt:lpwstr>
  </property>
</Properties>
</file>